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531"/>
        <w:gridCol w:w="4678"/>
      </w:tblGrid>
      <w:tr w:rsidR="008404B5" w:rsidRPr="008404B5" w:rsidTr="003C6965">
        <w:trPr>
          <w:cantSplit/>
          <w:trHeight w:val="265"/>
          <w:tblHeader/>
        </w:trPr>
        <w:tc>
          <w:tcPr>
            <w:tcW w:w="4531" w:type="dxa"/>
            <w:shd w:val="clear" w:color="auto" w:fill="D9D9D9"/>
          </w:tcPr>
          <w:p w:rsidR="008404B5" w:rsidRPr="008404B5" w:rsidRDefault="008404B5" w:rsidP="003C6965">
            <w:pPr>
              <w:rPr>
                <w:rFonts w:ascii="Arial" w:hAnsi="Arial" w:cs="Arial"/>
                <w:b/>
                <w:bCs/>
                <w:i/>
                <w:sz w:val="20"/>
              </w:rPr>
            </w:pPr>
            <w:r w:rsidRPr="008404B5">
              <w:rPr>
                <w:rFonts w:ascii="Arial" w:hAnsi="Arial" w:cs="Arial"/>
                <w:b/>
                <w:bCs/>
                <w:i/>
                <w:sz w:val="20"/>
              </w:rPr>
              <w:t xml:space="preserve">Matter raised </w:t>
            </w:r>
          </w:p>
        </w:tc>
        <w:tc>
          <w:tcPr>
            <w:tcW w:w="4678" w:type="dxa"/>
            <w:shd w:val="clear" w:color="auto" w:fill="D9D9D9"/>
          </w:tcPr>
          <w:p w:rsidR="008404B5" w:rsidRPr="008404B5" w:rsidRDefault="008404B5" w:rsidP="003C6965">
            <w:pPr>
              <w:rPr>
                <w:rFonts w:ascii="Arial" w:hAnsi="Arial" w:cs="Arial"/>
                <w:b/>
                <w:bCs/>
                <w:i/>
                <w:sz w:val="20"/>
              </w:rPr>
            </w:pPr>
            <w:r w:rsidRPr="008404B5">
              <w:rPr>
                <w:rFonts w:ascii="Arial" w:hAnsi="Arial" w:cs="Arial"/>
                <w:b/>
                <w:bCs/>
                <w:i/>
                <w:sz w:val="20"/>
              </w:rPr>
              <w:t>LAHC information in response</w:t>
            </w:r>
          </w:p>
        </w:tc>
      </w:tr>
      <w:tr w:rsidR="008404B5" w:rsidRPr="008404B5" w:rsidTr="003C6965">
        <w:trPr>
          <w:cantSplit/>
        </w:trPr>
        <w:tc>
          <w:tcPr>
            <w:tcW w:w="4531" w:type="dxa"/>
            <w:shd w:val="clear" w:color="auto" w:fill="FFFFFF"/>
          </w:tcPr>
          <w:p w:rsidR="008404B5" w:rsidRPr="008404B5" w:rsidRDefault="008404B5" w:rsidP="003C6965">
            <w:pPr>
              <w:rPr>
                <w:rFonts w:ascii="Arial" w:hAnsi="Arial" w:cs="Arial"/>
                <w:color w:val="000000"/>
                <w:sz w:val="20"/>
                <w:lang w:eastAsia="en-AU"/>
              </w:rPr>
            </w:pPr>
            <w:r w:rsidRPr="008404B5">
              <w:rPr>
                <w:rFonts w:ascii="Arial" w:hAnsi="Arial" w:cs="Arial"/>
                <w:b/>
                <w:bCs/>
                <w:color w:val="000000"/>
                <w:sz w:val="20"/>
              </w:rPr>
              <w:t xml:space="preserve">PO 7.7-1 Planning Outcomes – Neighbourhood Character </w:t>
            </w:r>
          </w:p>
          <w:p w:rsidR="008404B5" w:rsidRPr="008404B5" w:rsidRDefault="008404B5" w:rsidP="008404B5">
            <w:pPr>
              <w:numPr>
                <w:ilvl w:val="0"/>
                <w:numId w:val="35"/>
              </w:numPr>
              <w:rPr>
                <w:rFonts w:ascii="Arial" w:hAnsi="Arial" w:cs="Arial"/>
                <w:color w:val="000000"/>
                <w:sz w:val="20"/>
              </w:rPr>
            </w:pPr>
            <w:r w:rsidRPr="008404B5">
              <w:rPr>
                <w:rFonts w:ascii="Arial" w:hAnsi="Arial" w:cs="Arial"/>
                <w:color w:val="000000"/>
                <w:sz w:val="20"/>
              </w:rPr>
              <w:t>The existing housing vernacular is largely post-war fibro houses and brick homes built around</w:t>
            </w:r>
            <w:bookmarkStart w:id="0" w:name="_GoBack"/>
            <w:bookmarkEnd w:id="0"/>
            <w:r w:rsidRPr="008404B5">
              <w:rPr>
                <w:rFonts w:ascii="Arial" w:hAnsi="Arial" w:cs="Arial"/>
                <w:color w:val="000000"/>
                <w:sz w:val="20"/>
              </w:rPr>
              <w:t xml:space="preserve"> the 1980’s-1990’s. There is some lower scale tree planting on site and small street trees within the area. </w:t>
            </w:r>
          </w:p>
          <w:p w:rsidR="008404B5" w:rsidRPr="008404B5" w:rsidRDefault="008404B5" w:rsidP="008404B5">
            <w:pPr>
              <w:numPr>
                <w:ilvl w:val="0"/>
                <w:numId w:val="35"/>
              </w:numPr>
              <w:rPr>
                <w:rFonts w:ascii="Arial" w:hAnsi="Arial" w:cs="Arial"/>
                <w:color w:val="000000"/>
                <w:sz w:val="20"/>
              </w:rPr>
            </w:pPr>
            <w:r w:rsidRPr="008404B5">
              <w:rPr>
                <w:rFonts w:ascii="Arial" w:hAnsi="Arial" w:cs="Arial"/>
                <w:color w:val="000000"/>
                <w:sz w:val="20"/>
              </w:rPr>
              <w:t xml:space="preserve">The proposed building design is of a modern aesthetic. The proposed Silica PGH brick is of a lighter colour not typical of the surrounding brick homes. Other alternatives that would suitable are the Balmoral brick or Endeavour brick encompassing some red tones that are reflective of the surrounding character. </w:t>
            </w:r>
          </w:p>
          <w:p w:rsidR="008404B5" w:rsidRPr="008404B5" w:rsidRDefault="008404B5" w:rsidP="008404B5">
            <w:pPr>
              <w:numPr>
                <w:ilvl w:val="0"/>
                <w:numId w:val="35"/>
              </w:numPr>
              <w:rPr>
                <w:rFonts w:ascii="Arial" w:hAnsi="Arial" w:cs="Arial"/>
                <w:color w:val="000000"/>
                <w:sz w:val="20"/>
              </w:rPr>
            </w:pPr>
            <w:r w:rsidRPr="008404B5">
              <w:rPr>
                <w:rFonts w:ascii="Arial" w:hAnsi="Arial" w:cs="Arial"/>
                <w:color w:val="000000"/>
                <w:sz w:val="20"/>
              </w:rPr>
              <w:t xml:space="preserve">The overall darker appearance of the second floors could be further lightened by painting protruding elements in a white to reduce the bulk of the second storey. This also responds to the broader neighbourhood character in which most buildings are coloured in light colour schemes. </w:t>
            </w:r>
          </w:p>
          <w:p w:rsidR="008404B5" w:rsidRPr="008404B5" w:rsidRDefault="008404B5" w:rsidP="008404B5">
            <w:pPr>
              <w:numPr>
                <w:ilvl w:val="0"/>
                <w:numId w:val="35"/>
              </w:numPr>
              <w:rPr>
                <w:rFonts w:ascii="Arial" w:hAnsi="Arial" w:cs="Arial"/>
                <w:sz w:val="20"/>
              </w:rPr>
            </w:pPr>
            <w:r w:rsidRPr="008404B5">
              <w:rPr>
                <w:rFonts w:ascii="Arial" w:hAnsi="Arial" w:cs="Arial"/>
                <w:color w:val="000000"/>
                <w:sz w:val="20"/>
              </w:rPr>
              <w:t xml:space="preserve">The proposed landscaping will enhance the streetscape however needs to be balanced with passive surveillance of the street. </w:t>
            </w:r>
          </w:p>
        </w:tc>
        <w:tc>
          <w:tcPr>
            <w:tcW w:w="4678" w:type="dxa"/>
            <w:shd w:val="clear" w:color="auto" w:fill="FFFFFF"/>
          </w:tcPr>
          <w:p w:rsidR="008404B5" w:rsidRPr="008404B5" w:rsidRDefault="008404B5" w:rsidP="003C6965">
            <w:pPr>
              <w:pStyle w:val="ListParagraph0"/>
              <w:ind w:left="313"/>
              <w:rPr>
                <w:rFonts w:ascii="Arial" w:eastAsia="Calibri" w:hAnsi="Arial" w:cs="Arial"/>
                <w:szCs w:val="20"/>
              </w:rPr>
            </w:pPr>
          </w:p>
          <w:p w:rsidR="008404B5" w:rsidRPr="008404B5" w:rsidRDefault="008404B5" w:rsidP="003C6965">
            <w:pPr>
              <w:pStyle w:val="ListParagraph0"/>
              <w:ind w:left="313"/>
              <w:rPr>
                <w:rFonts w:ascii="Arial" w:eastAsia="Calibri" w:hAnsi="Arial" w:cs="Arial"/>
                <w:szCs w:val="20"/>
              </w:rPr>
            </w:pPr>
          </w:p>
          <w:p w:rsidR="008404B5" w:rsidRPr="008404B5" w:rsidRDefault="008404B5" w:rsidP="003C6965">
            <w:pPr>
              <w:pStyle w:val="ListParagraph0"/>
              <w:ind w:left="313"/>
              <w:rPr>
                <w:rFonts w:ascii="Arial" w:eastAsia="Calibri" w:hAnsi="Arial" w:cs="Arial"/>
                <w:szCs w:val="20"/>
              </w:rPr>
            </w:pPr>
          </w:p>
          <w:p w:rsidR="008404B5" w:rsidRPr="008404B5" w:rsidRDefault="008404B5" w:rsidP="003C6965">
            <w:pPr>
              <w:pStyle w:val="ListParagraph0"/>
              <w:ind w:left="313"/>
              <w:rPr>
                <w:rFonts w:ascii="Arial" w:eastAsia="Calibri" w:hAnsi="Arial" w:cs="Arial"/>
                <w:szCs w:val="20"/>
              </w:rPr>
            </w:pPr>
          </w:p>
          <w:p w:rsidR="008404B5" w:rsidRPr="008404B5" w:rsidRDefault="008404B5" w:rsidP="003C6965">
            <w:pPr>
              <w:pStyle w:val="ListParagraph0"/>
              <w:ind w:left="313"/>
              <w:rPr>
                <w:rFonts w:ascii="Arial" w:eastAsia="Calibri" w:hAnsi="Arial" w:cs="Arial"/>
                <w:szCs w:val="20"/>
              </w:rPr>
            </w:pPr>
          </w:p>
          <w:p w:rsidR="008404B5" w:rsidRPr="008404B5" w:rsidRDefault="008404B5" w:rsidP="008404B5">
            <w:pPr>
              <w:pStyle w:val="ListParagraph0"/>
              <w:numPr>
                <w:ilvl w:val="0"/>
                <w:numId w:val="27"/>
              </w:numPr>
              <w:ind w:left="434" w:hanging="6"/>
              <w:rPr>
                <w:rFonts w:ascii="Arial" w:eastAsia="Calibri" w:hAnsi="Arial" w:cs="Arial"/>
                <w:szCs w:val="20"/>
              </w:rPr>
            </w:pPr>
            <w:r w:rsidRPr="008404B5">
              <w:rPr>
                <w:rFonts w:ascii="Arial" w:eastAsia="Calibri" w:hAnsi="Arial" w:cs="Arial"/>
                <w:szCs w:val="20"/>
              </w:rPr>
              <w:t xml:space="preserve">Red tone bricks (Pilbara colour) are proposed as face brick and a lighter render, cladding are proposed on the first floor to ensure the development is consistent with the surrounding character.  </w:t>
            </w:r>
          </w:p>
          <w:p w:rsidR="008404B5" w:rsidRPr="008404B5" w:rsidRDefault="008404B5" w:rsidP="003C6965">
            <w:pPr>
              <w:pStyle w:val="ListParagraph0"/>
              <w:ind w:left="434" w:hanging="142"/>
              <w:rPr>
                <w:rFonts w:ascii="Arial" w:eastAsia="Calibri" w:hAnsi="Arial" w:cs="Arial"/>
                <w:szCs w:val="20"/>
              </w:rPr>
            </w:pPr>
          </w:p>
          <w:p w:rsidR="008404B5" w:rsidRPr="008404B5" w:rsidRDefault="008404B5" w:rsidP="003C6965">
            <w:pPr>
              <w:pStyle w:val="ListParagraph0"/>
              <w:ind w:left="434" w:hanging="142"/>
              <w:rPr>
                <w:rFonts w:ascii="Arial" w:eastAsia="Calibri" w:hAnsi="Arial" w:cs="Arial"/>
                <w:szCs w:val="20"/>
              </w:rPr>
            </w:pPr>
          </w:p>
          <w:p w:rsidR="008404B5" w:rsidRPr="008404B5" w:rsidRDefault="008404B5" w:rsidP="003C6965">
            <w:pPr>
              <w:pStyle w:val="ListParagraph0"/>
              <w:ind w:left="434" w:hanging="142"/>
              <w:rPr>
                <w:rFonts w:ascii="Arial" w:eastAsia="Calibri" w:hAnsi="Arial" w:cs="Arial"/>
                <w:szCs w:val="20"/>
              </w:rPr>
            </w:pPr>
          </w:p>
          <w:p w:rsidR="008404B5" w:rsidRPr="008404B5" w:rsidRDefault="008404B5" w:rsidP="003C6965">
            <w:pPr>
              <w:spacing w:after="120"/>
              <w:ind w:left="434"/>
              <w:rPr>
                <w:rFonts w:ascii="Arial" w:hAnsi="Arial" w:cs="Arial"/>
                <w:sz w:val="20"/>
              </w:rPr>
            </w:pPr>
          </w:p>
          <w:p w:rsidR="008404B5" w:rsidRPr="008404B5" w:rsidRDefault="008404B5" w:rsidP="008404B5">
            <w:pPr>
              <w:pStyle w:val="ListParagraph0"/>
              <w:numPr>
                <w:ilvl w:val="0"/>
                <w:numId w:val="27"/>
              </w:numPr>
              <w:ind w:left="434" w:hanging="6"/>
              <w:rPr>
                <w:rFonts w:ascii="Arial" w:hAnsi="Arial" w:cs="Arial"/>
                <w:szCs w:val="20"/>
              </w:rPr>
            </w:pPr>
            <w:r w:rsidRPr="008404B5">
              <w:rPr>
                <w:rFonts w:ascii="Arial" w:eastAsia="Calibri" w:hAnsi="Arial" w:cs="Arial"/>
                <w:szCs w:val="20"/>
              </w:rPr>
              <w:t xml:space="preserve">Various species of Shrubs with heights from 0.75 m to 1m are proposed along the front boundary and some trees with height from 5m to 10m are proposed to enhance the streetscape and to provide privacy to the units facing to the street. </w:t>
            </w:r>
          </w:p>
          <w:p w:rsidR="008404B5" w:rsidRPr="008404B5" w:rsidRDefault="008404B5" w:rsidP="008404B5">
            <w:pPr>
              <w:pStyle w:val="ListParagraph0"/>
              <w:numPr>
                <w:ilvl w:val="0"/>
                <w:numId w:val="27"/>
              </w:numPr>
              <w:ind w:left="434" w:hanging="6"/>
              <w:rPr>
                <w:rFonts w:ascii="Arial" w:hAnsi="Arial" w:cs="Arial"/>
                <w:szCs w:val="20"/>
              </w:rPr>
            </w:pPr>
            <w:r w:rsidRPr="008404B5">
              <w:rPr>
                <w:rFonts w:ascii="Arial" w:eastAsia="Calibri" w:hAnsi="Arial" w:cs="Arial"/>
                <w:szCs w:val="20"/>
              </w:rPr>
              <w:t>Large windows are proposed to the habitable rooms looking into the street which allows passive surveillance of the street.</w:t>
            </w:r>
          </w:p>
        </w:tc>
      </w:tr>
      <w:tr w:rsidR="008404B5" w:rsidRPr="008404B5" w:rsidTr="003C6965">
        <w:trPr>
          <w:cantSplit/>
        </w:trPr>
        <w:tc>
          <w:tcPr>
            <w:tcW w:w="4531" w:type="dxa"/>
            <w:shd w:val="clear" w:color="auto" w:fill="FFFFFF"/>
          </w:tcPr>
          <w:p w:rsidR="008404B5" w:rsidRPr="008404B5" w:rsidRDefault="008404B5" w:rsidP="003C6965">
            <w:pPr>
              <w:rPr>
                <w:rFonts w:ascii="Arial" w:hAnsi="Arial" w:cs="Arial"/>
                <w:color w:val="000000"/>
                <w:sz w:val="20"/>
                <w:lang w:eastAsia="en-AU"/>
              </w:rPr>
            </w:pPr>
            <w:r w:rsidRPr="008404B5">
              <w:rPr>
                <w:rFonts w:ascii="Arial" w:hAnsi="Arial" w:cs="Arial"/>
                <w:b/>
                <w:bCs/>
                <w:color w:val="000000"/>
                <w:sz w:val="20"/>
                <w:shd w:val="clear" w:color="auto" w:fill="FFFFFF"/>
              </w:rPr>
              <w:t xml:space="preserve">PO </w:t>
            </w:r>
            <w:r w:rsidRPr="008404B5">
              <w:rPr>
                <w:rFonts w:ascii="Arial" w:hAnsi="Arial" w:cs="Arial"/>
                <w:b/>
                <w:bCs/>
                <w:color w:val="000000"/>
                <w:sz w:val="20"/>
              </w:rPr>
              <w:t xml:space="preserve">7.7-2 Planning Outcomes – Building Appearance </w:t>
            </w:r>
          </w:p>
          <w:p w:rsidR="008404B5" w:rsidRPr="008404B5" w:rsidRDefault="008404B5" w:rsidP="008404B5">
            <w:pPr>
              <w:numPr>
                <w:ilvl w:val="0"/>
                <w:numId w:val="36"/>
              </w:numPr>
              <w:rPr>
                <w:rFonts w:ascii="Arial" w:hAnsi="Arial" w:cs="Arial"/>
                <w:color w:val="000000"/>
                <w:sz w:val="20"/>
              </w:rPr>
            </w:pPr>
            <w:r w:rsidRPr="008404B5">
              <w:rPr>
                <w:rFonts w:ascii="Arial" w:hAnsi="Arial" w:cs="Arial"/>
                <w:color w:val="000000"/>
                <w:sz w:val="20"/>
              </w:rPr>
              <w:t xml:space="preserve">Building materials and colours, see recommendations under 7.7.1. </w:t>
            </w:r>
          </w:p>
          <w:p w:rsidR="008404B5" w:rsidRPr="008404B5" w:rsidRDefault="008404B5" w:rsidP="008404B5">
            <w:pPr>
              <w:numPr>
                <w:ilvl w:val="0"/>
                <w:numId w:val="36"/>
              </w:numPr>
              <w:rPr>
                <w:rFonts w:ascii="Arial" w:eastAsia="Calibri" w:hAnsi="Arial" w:cs="Arial"/>
                <w:sz w:val="20"/>
              </w:rPr>
            </w:pPr>
            <w:r w:rsidRPr="008404B5">
              <w:rPr>
                <w:rFonts w:ascii="Arial" w:hAnsi="Arial" w:cs="Arial"/>
                <w:color w:val="000000"/>
                <w:sz w:val="20"/>
              </w:rPr>
              <w:t xml:space="preserve">Bin storage areas must be suitably screened from the streetscape. Landscaping must be supported by fencing to enclose the visual and odour impact of storage to the streetscape. </w:t>
            </w:r>
          </w:p>
        </w:tc>
        <w:tc>
          <w:tcPr>
            <w:tcW w:w="4678" w:type="dxa"/>
            <w:shd w:val="clear" w:color="auto" w:fill="FFFFFF"/>
          </w:tcPr>
          <w:p w:rsidR="008404B5" w:rsidRPr="008404B5" w:rsidRDefault="008404B5" w:rsidP="008404B5">
            <w:pPr>
              <w:pStyle w:val="ListParagraph0"/>
              <w:numPr>
                <w:ilvl w:val="0"/>
                <w:numId w:val="27"/>
              </w:numPr>
              <w:ind w:left="434" w:hanging="6"/>
              <w:rPr>
                <w:rFonts w:ascii="Arial" w:eastAsia="Calibri" w:hAnsi="Arial" w:cs="Arial"/>
                <w:szCs w:val="20"/>
              </w:rPr>
            </w:pPr>
            <w:r w:rsidRPr="008404B5">
              <w:rPr>
                <w:rFonts w:ascii="Arial" w:eastAsia="Calibri" w:hAnsi="Arial" w:cs="Arial"/>
                <w:szCs w:val="20"/>
              </w:rPr>
              <w:t xml:space="preserve">Red tone bricks (Pilbara colour) are proposed as face brick and a lighter render, cladding are proposed on the first floor to ensure the development is consistent with the surrounding character. </w:t>
            </w:r>
          </w:p>
          <w:p w:rsidR="008404B5" w:rsidRPr="008404B5" w:rsidRDefault="008404B5" w:rsidP="008404B5">
            <w:pPr>
              <w:pStyle w:val="ListParagraph0"/>
              <w:numPr>
                <w:ilvl w:val="0"/>
                <w:numId w:val="27"/>
              </w:numPr>
              <w:ind w:left="434" w:hanging="6"/>
              <w:rPr>
                <w:rFonts w:ascii="Arial" w:eastAsia="Calibri" w:hAnsi="Arial" w:cs="Arial"/>
                <w:szCs w:val="20"/>
              </w:rPr>
            </w:pPr>
            <w:r w:rsidRPr="008404B5">
              <w:rPr>
                <w:rFonts w:ascii="Arial" w:eastAsia="Calibri" w:hAnsi="Arial" w:cs="Arial"/>
                <w:szCs w:val="20"/>
              </w:rPr>
              <w:t>The bin areas are screened behind the wall and enclosed by proposed 1m high metal fence.</w:t>
            </w:r>
          </w:p>
        </w:tc>
      </w:tr>
      <w:tr w:rsidR="008404B5" w:rsidRPr="008404B5" w:rsidTr="003C6965">
        <w:trPr>
          <w:cantSplit/>
        </w:trPr>
        <w:tc>
          <w:tcPr>
            <w:tcW w:w="4531" w:type="dxa"/>
            <w:shd w:val="clear" w:color="auto" w:fill="FFFFFF"/>
          </w:tcPr>
          <w:p w:rsidR="008404B5" w:rsidRPr="008404B5" w:rsidRDefault="008404B5" w:rsidP="003C6965">
            <w:pPr>
              <w:rPr>
                <w:rFonts w:ascii="Arial" w:hAnsi="Arial" w:cs="Arial"/>
                <w:color w:val="000000"/>
                <w:sz w:val="20"/>
                <w:lang w:eastAsia="en-AU"/>
              </w:rPr>
            </w:pPr>
            <w:r w:rsidRPr="008404B5">
              <w:rPr>
                <w:rFonts w:ascii="Arial" w:hAnsi="Arial" w:cs="Arial"/>
                <w:b/>
                <w:bCs/>
                <w:color w:val="000000"/>
                <w:sz w:val="20"/>
                <w:shd w:val="clear" w:color="auto" w:fill="FFFFFF"/>
              </w:rPr>
              <w:t xml:space="preserve">PO </w:t>
            </w:r>
            <w:r w:rsidRPr="008404B5">
              <w:rPr>
                <w:rFonts w:ascii="Arial" w:hAnsi="Arial" w:cs="Arial"/>
                <w:b/>
                <w:bCs/>
                <w:color w:val="000000"/>
                <w:sz w:val="20"/>
              </w:rPr>
              <w:t xml:space="preserve">7.7-4 Planning Outcomes – Setbacks </w:t>
            </w:r>
          </w:p>
          <w:p w:rsidR="008404B5" w:rsidRPr="008404B5" w:rsidRDefault="008404B5" w:rsidP="008404B5">
            <w:pPr>
              <w:numPr>
                <w:ilvl w:val="0"/>
                <w:numId w:val="37"/>
              </w:numPr>
              <w:rPr>
                <w:rFonts w:ascii="Arial" w:hAnsi="Arial" w:cs="Arial"/>
                <w:color w:val="000000"/>
                <w:sz w:val="20"/>
              </w:rPr>
            </w:pPr>
            <w:r w:rsidRPr="008404B5">
              <w:rPr>
                <w:rFonts w:ascii="Arial" w:hAnsi="Arial" w:cs="Arial"/>
                <w:color w:val="000000"/>
                <w:sz w:val="20"/>
              </w:rPr>
              <w:t xml:space="preserve">Frost Street setbacks are consistent with prevailing setbacks </w:t>
            </w:r>
          </w:p>
          <w:p w:rsidR="008404B5" w:rsidRPr="008404B5" w:rsidRDefault="008404B5" w:rsidP="008404B5">
            <w:pPr>
              <w:numPr>
                <w:ilvl w:val="0"/>
                <w:numId w:val="37"/>
              </w:numPr>
              <w:rPr>
                <w:rFonts w:ascii="Arial" w:hAnsi="Arial" w:cs="Arial"/>
                <w:color w:val="000000"/>
                <w:sz w:val="20"/>
              </w:rPr>
            </w:pPr>
            <w:r w:rsidRPr="008404B5">
              <w:rPr>
                <w:rFonts w:ascii="Arial" w:hAnsi="Arial" w:cs="Arial"/>
                <w:color w:val="000000"/>
                <w:sz w:val="20"/>
              </w:rPr>
              <w:t>Waratah Avenue setbacks are consistent with the guidelines for the Planning Outcome in relation to corner allotments allowing a 2m setback from the secondary street.</w:t>
            </w:r>
          </w:p>
        </w:tc>
        <w:tc>
          <w:tcPr>
            <w:tcW w:w="4678" w:type="dxa"/>
            <w:shd w:val="clear" w:color="auto" w:fill="FFFFFF"/>
          </w:tcPr>
          <w:p w:rsidR="008404B5" w:rsidRPr="008404B5" w:rsidRDefault="008404B5" w:rsidP="008404B5">
            <w:pPr>
              <w:pStyle w:val="ListParagraph0"/>
              <w:numPr>
                <w:ilvl w:val="0"/>
                <w:numId w:val="27"/>
              </w:numPr>
              <w:ind w:left="434" w:hanging="6"/>
              <w:rPr>
                <w:rFonts w:ascii="Arial" w:eastAsia="Calibri" w:hAnsi="Arial" w:cs="Arial"/>
                <w:szCs w:val="20"/>
              </w:rPr>
            </w:pPr>
            <w:r w:rsidRPr="008404B5">
              <w:rPr>
                <w:rFonts w:ascii="Arial" w:eastAsia="Calibri" w:hAnsi="Arial" w:cs="Arial"/>
                <w:szCs w:val="20"/>
              </w:rPr>
              <w:t>Noted</w:t>
            </w:r>
          </w:p>
        </w:tc>
      </w:tr>
      <w:tr w:rsidR="008404B5" w:rsidRPr="008404B5" w:rsidTr="003C6965">
        <w:trPr>
          <w:cantSplit/>
        </w:trPr>
        <w:tc>
          <w:tcPr>
            <w:tcW w:w="4531" w:type="dxa"/>
            <w:shd w:val="clear" w:color="auto" w:fill="FFFFFF"/>
          </w:tcPr>
          <w:p w:rsidR="008404B5" w:rsidRPr="008404B5" w:rsidRDefault="008404B5" w:rsidP="003C6965">
            <w:pPr>
              <w:rPr>
                <w:rFonts w:ascii="Arial" w:hAnsi="Arial" w:cs="Arial"/>
                <w:color w:val="000000"/>
                <w:sz w:val="20"/>
                <w:lang w:eastAsia="en-AU"/>
              </w:rPr>
            </w:pPr>
            <w:r w:rsidRPr="008404B5">
              <w:rPr>
                <w:rFonts w:ascii="Arial" w:hAnsi="Arial" w:cs="Arial"/>
                <w:b/>
                <w:bCs/>
                <w:color w:val="000000"/>
                <w:sz w:val="20"/>
                <w:shd w:val="clear" w:color="auto" w:fill="FFFFFF"/>
              </w:rPr>
              <w:lastRenderedPageBreak/>
              <w:t xml:space="preserve">PO </w:t>
            </w:r>
            <w:r w:rsidRPr="008404B5">
              <w:rPr>
                <w:rFonts w:ascii="Arial" w:hAnsi="Arial" w:cs="Arial"/>
                <w:b/>
                <w:bCs/>
                <w:color w:val="000000"/>
                <w:sz w:val="20"/>
              </w:rPr>
              <w:t xml:space="preserve">7.7-6 Planning Outcomes – Visual Bulk </w:t>
            </w:r>
          </w:p>
          <w:p w:rsidR="008404B5" w:rsidRPr="008404B5" w:rsidRDefault="008404B5" w:rsidP="008404B5">
            <w:pPr>
              <w:numPr>
                <w:ilvl w:val="0"/>
                <w:numId w:val="38"/>
              </w:numPr>
              <w:rPr>
                <w:rFonts w:ascii="Arial" w:hAnsi="Arial" w:cs="Arial"/>
                <w:color w:val="000000"/>
                <w:sz w:val="20"/>
              </w:rPr>
            </w:pPr>
            <w:r w:rsidRPr="008404B5">
              <w:rPr>
                <w:rFonts w:ascii="Arial" w:hAnsi="Arial" w:cs="Arial"/>
                <w:color w:val="000000"/>
                <w:sz w:val="20"/>
              </w:rPr>
              <w:t xml:space="preserve">There is a minor exceedance of bulk and scale envelope on the southern elevation. This generally has no impact on the overshadowing or visual privacy given the proposed windows on the Eastern elevation are highlight windows. </w:t>
            </w:r>
          </w:p>
          <w:p w:rsidR="008404B5" w:rsidRPr="008404B5" w:rsidRDefault="008404B5" w:rsidP="003C6965">
            <w:pPr>
              <w:rPr>
                <w:rFonts w:ascii="Arial" w:hAnsi="Arial" w:cs="Arial"/>
                <w:b/>
                <w:bCs/>
                <w:color w:val="000000"/>
                <w:sz w:val="20"/>
                <w:shd w:val="clear" w:color="auto" w:fill="FFFFFF"/>
              </w:rPr>
            </w:pPr>
          </w:p>
        </w:tc>
        <w:tc>
          <w:tcPr>
            <w:tcW w:w="4678" w:type="dxa"/>
            <w:shd w:val="clear" w:color="auto" w:fill="FFFFFF"/>
          </w:tcPr>
          <w:p w:rsidR="008404B5" w:rsidRPr="008404B5" w:rsidRDefault="008404B5" w:rsidP="008404B5">
            <w:pPr>
              <w:pStyle w:val="ListParagraph0"/>
              <w:numPr>
                <w:ilvl w:val="0"/>
                <w:numId w:val="27"/>
              </w:numPr>
              <w:ind w:left="434" w:hanging="6"/>
              <w:rPr>
                <w:rFonts w:ascii="Arial" w:eastAsia="Calibri" w:hAnsi="Arial" w:cs="Arial"/>
                <w:szCs w:val="20"/>
              </w:rPr>
            </w:pPr>
            <w:r w:rsidRPr="008404B5">
              <w:rPr>
                <w:rFonts w:ascii="Arial" w:eastAsia="Calibri" w:hAnsi="Arial" w:cs="Arial"/>
                <w:szCs w:val="20"/>
              </w:rPr>
              <w:t>Noted</w:t>
            </w:r>
          </w:p>
        </w:tc>
      </w:tr>
      <w:tr w:rsidR="008404B5" w:rsidRPr="008404B5" w:rsidTr="003C6965">
        <w:trPr>
          <w:cantSplit/>
        </w:trPr>
        <w:tc>
          <w:tcPr>
            <w:tcW w:w="4531" w:type="dxa"/>
            <w:shd w:val="clear" w:color="auto" w:fill="FFFFFF"/>
          </w:tcPr>
          <w:p w:rsidR="008404B5" w:rsidRPr="008404B5" w:rsidRDefault="008404B5" w:rsidP="003C6965">
            <w:pPr>
              <w:rPr>
                <w:rFonts w:ascii="Arial" w:hAnsi="Arial" w:cs="Arial"/>
                <w:color w:val="000000"/>
                <w:sz w:val="20"/>
                <w:lang w:eastAsia="en-AU"/>
              </w:rPr>
            </w:pPr>
            <w:r w:rsidRPr="008404B5">
              <w:rPr>
                <w:rFonts w:ascii="Arial" w:hAnsi="Arial" w:cs="Arial"/>
                <w:b/>
                <w:bCs/>
                <w:color w:val="000000"/>
                <w:sz w:val="20"/>
                <w:shd w:val="clear" w:color="auto" w:fill="FFFFFF"/>
              </w:rPr>
              <w:t>PO 7.7</w:t>
            </w:r>
            <w:r w:rsidRPr="008404B5">
              <w:rPr>
                <w:rFonts w:ascii="Arial" w:hAnsi="Arial" w:cs="Arial"/>
                <w:b/>
                <w:bCs/>
                <w:color w:val="000000"/>
                <w:sz w:val="20"/>
              </w:rPr>
              <w:t xml:space="preserve">-7 Planning Outcomes – Walls and Boundaries </w:t>
            </w:r>
          </w:p>
          <w:p w:rsidR="008404B5" w:rsidRPr="008404B5" w:rsidRDefault="008404B5" w:rsidP="008404B5">
            <w:pPr>
              <w:numPr>
                <w:ilvl w:val="0"/>
                <w:numId w:val="39"/>
              </w:numPr>
              <w:rPr>
                <w:rFonts w:ascii="Arial" w:hAnsi="Arial" w:cs="Arial"/>
                <w:color w:val="000000"/>
                <w:sz w:val="20"/>
              </w:rPr>
            </w:pPr>
            <w:r w:rsidRPr="008404B5">
              <w:rPr>
                <w:rFonts w:ascii="Arial" w:hAnsi="Arial" w:cs="Arial"/>
                <w:color w:val="000000"/>
                <w:sz w:val="20"/>
              </w:rPr>
              <w:t xml:space="preserve">The increase in the floor level for the underground OSD and rainwater tank (RL 878.225 – 878.335) to the 3 Waratah Avenue and the height of the fence (RL 878.350) and planting Melaleuca Claret Tops (height 1.2m at RL 877.495) raises concerns around the visual privacy impacts that this may have on the adjoining neighbour’s private open space (RL 877.41). Alternative options to reduce the increase in the proposed floor level or suitable screening must be explored to alleviate the visual privacy impacts on 3 Waratah Avenue. </w:t>
            </w:r>
          </w:p>
        </w:tc>
        <w:tc>
          <w:tcPr>
            <w:tcW w:w="4678" w:type="dxa"/>
            <w:shd w:val="clear" w:color="auto" w:fill="FFFFFF"/>
          </w:tcPr>
          <w:p w:rsidR="008404B5" w:rsidRPr="008404B5" w:rsidRDefault="008404B5" w:rsidP="008404B5">
            <w:pPr>
              <w:pStyle w:val="ListParagraph0"/>
              <w:numPr>
                <w:ilvl w:val="0"/>
                <w:numId w:val="27"/>
              </w:numPr>
              <w:ind w:left="434" w:hanging="6"/>
              <w:rPr>
                <w:rFonts w:ascii="Arial" w:eastAsia="Calibri" w:hAnsi="Arial" w:cs="Arial"/>
                <w:szCs w:val="20"/>
              </w:rPr>
            </w:pPr>
            <w:r w:rsidRPr="008404B5">
              <w:rPr>
                <w:rFonts w:ascii="Arial" w:eastAsia="Calibri" w:hAnsi="Arial" w:cs="Arial"/>
                <w:szCs w:val="20"/>
              </w:rPr>
              <w:t xml:space="preserve">In consultation with the Council engineer, a shallower, 500mm deep OSD tank is proposed resulting in reduced car park level by 500mm. As recommended by the Council Engineer, a few extra pits have been added to facilitate maintenance of this shallow OSD tank. </w:t>
            </w:r>
          </w:p>
          <w:p w:rsidR="008404B5" w:rsidRPr="008404B5" w:rsidRDefault="008404B5" w:rsidP="008404B5">
            <w:pPr>
              <w:pStyle w:val="ListParagraph0"/>
              <w:numPr>
                <w:ilvl w:val="0"/>
                <w:numId w:val="27"/>
              </w:numPr>
              <w:ind w:left="434" w:hanging="6"/>
              <w:rPr>
                <w:rFonts w:ascii="Arial" w:eastAsia="Calibri" w:hAnsi="Arial" w:cs="Arial"/>
                <w:szCs w:val="20"/>
              </w:rPr>
            </w:pPr>
            <w:r w:rsidRPr="008404B5">
              <w:rPr>
                <w:rFonts w:ascii="Arial" w:eastAsia="Calibri" w:hAnsi="Arial" w:cs="Arial"/>
                <w:szCs w:val="20"/>
              </w:rPr>
              <w:t xml:space="preserve">The proposed RL of car park is 877.7 and 3m high screen planting on natural ground level is proposed to minimise visual privacy impacts </w:t>
            </w:r>
          </w:p>
          <w:p w:rsidR="008404B5" w:rsidRPr="008404B5" w:rsidRDefault="008404B5" w:rsidP="003C6965">
            <w:pPr>
              <w:spacing w:after="120"/>
              <w:ind w:left="292"/>
              <w:rPr>
                <w:rFonts w:ascii="Arial" w:eastAsia="Calibri" w:hAnsi="Arial" w:cs="Arial"/>
                <w:sz w:val="20"/>
              </w:rPr>
            </w:pPr>
          </w:p>
          <w:p w:rsidR="008404B5" w:rsidRPr="008404B5" w:rsidRDefault="008404B5" w:rsidP="003C6965">
            <w:pPr>
              <w:spacing w:after="120"/>
              <w:ind w:left="434"/>
              <w:rPr>
                <w:rFonts w:ascii="Arial" w:eastAsia="Calibri" w:hAnsi="Arial" w:cs="Arial"/>
                <w:sz w:val="20"/>
              </w:rPr>
            </w:pPr>
          </w:p>
        </w:tc>
      </w:tr>
      <w:tr w:rsidR="008404B5" w:rsidRPr="008404B5" w:rsidTr="003C6965">
        <w:trPr>
          <w:cantSplit/>
        </w:trPr>
        <w:tc>
          <w:tcPr>
            <w:tcW w:w="4531" w:type="dxa"/>
            <w:shd w:val="clear" w:color="auto" w:fill="FFFFFF"/>
          </w:tcPr>
          <w:p w:rsidR="008404B5" w:rsidRPr="008404B5" w:rsidRDefault="008404B5" w:rsidP="003C6965">
            <w:pPr>
              <w:rPr>
                <w:rFonts w:ascii="Arial" w:hAnsi="Arial" w:cs="Arial"/>
                <w:color w:val="000000"/>
                <w:sz w:val="20"/>
                <w:lang w:eastAsia="en-AU"/>
              </w:rPr>
            </w:pPr>
            <w:r w:rsidRPr="008404B5">
              <w:rPr>
                <w:rFonts w:ascii="Arial" w:hAnsi="Arial" w:cs="Arial"/>
                <w:b/>
                <w:bCs/>
                <w:color w:val="000000"/>
                <w:sz w:val="20"/>
                <w:shd w:val="clear" w:color="auto" w:fill="FFFFFF"/>
              </w:rPr>
              <w:lastRenderedPageBreak/>
              <w:t xml:space="preserve">PO </w:t>
            </w:r>
            <w:r w:rsidRPr="008404B5">
              <w:rPr>
                <w:rFonts w:ascii="Arial" w:hAnsi="Arial" w:cs="Arial"/>
                <w:b/>
                <w:bCs/>
                <w:color w:val="000000"/>
                <w:sz w:val="20"/>
              </w:rPr>
              <w:t xml:space="preserve">7.7-8 Planning Outcomes – Daylight and Sunlight </w:t>
            </w:r>
          </w:p>
          <w:p w:rsidR="008404B5" w:rsidRPr="008404B5" w:rsidRDefault="008404B5" w:rsidP="008404B5">
            <w:pPr>
              <w:numPr>
                <w:ilvl w:val="0"/>
                <w:numId w:val="40"/>
              </w:numPr>
              <w:rPr>
                <w:rFonts w:ascii="Arial" w:hAnsi="Arial" w:cs="Arial"/>
                <w:color w:val="000000"/>
                <w:sz w:val="20"/>
              </w:rPr>
            </w:pPr>
            <w:r w:rsidRPr="008404B5">
              <w:rPr>
                <w:rFonts w:ascii="Arial" w:hAnsi="Arial" w:cs="Arial"/>
                <w:color w:val="000000"/>
                <w:sz w:val="20"/>
              </w:rPr>
              <w:t xml:space="preserve">Plans do not indicate the habitable windows on 3 Waratah Avenue. It is recommended a shadow diagram be provided for each hour on the 21 June to suitably understand the impact on the adjoining neighbour. Further information on the overshadowing impact of the fence and significant tree planting to the Eastern boundary is required to determine the impact on the neighbours habitable windows and private open space. It is recommended the following be considered: </w:t>
            </w:r>
          </w:p>
          <w:p w:rsidR="008404B5" w:rsidRPr="008404B5" w:rsidRDefault="008404B5" w:rsidP="008404B5">
            <w:pPr>
              <w:numPr>
                <w:ilvl w:val="1"/>
                <w:numId w:val="40"/>
              </w:numPr>
              <w:rPr>
                <w:rFonts w:ascii="Arial" w:hAnsi="Arial" w:cs="Arial"/>
                <w:color w:val="000000"/>
                <w:sz w:val="20"/>
              </w:rPr>
            </w:pPr>
            <w:r w:rsidRPr="008404B5">
              <w:rPr>
                <w:rFonts w:ascii="Arial" w:hAnsi="Arial" w:cs="Arial"/>
                <w:color w:val="000000"/>
                <w:sz w:val="20"/>
              </w:rPr>
              <w:t xml:space="preserve">Existing overshadowing impacts </w:t>
            </w:r>
          </w:p>
          <w:p w:rsidR="008404B5" w:rsidRPr="008404B5" w:rsidRDefault="008404B5" w:rsidP="008404B5">
            <w:pPr>
              <w:numPr>
                <w:ilvl w:val="1"/>
                <w:numId w:val="40"/>
              </w:numPr>
              <w:rPr>
                <w:rFonts w:ascii="Arial" w:hAnsi="Arial" w:cs="Arial"/>
                <w:color w:val="000000"/>
                <w:sz w:val="20"/>
              </w:rPr>
            </w:pPr>
            <w:r w:rsidRPr="008404B5">
              <w:rPr>
                <w:rFonts w:ascii="Arial" w:hAnsi="Arial" w:cs="Arial"/>
                <w:color w:val="000000"/>
                <w:sz w:val="20"/>
              </w:rPr>
              <w:t xml:space="preserve">Proposed shadow diagrams including proposed trees to the East </w:t>
            </w:r>
          </w:p>
          <w:p w:rsidR="008404B5" w:rsidRPr="008404B5" w:rsidRDefault="008404B5" w:rsidP="008404B5">
            <w:pPr>
              <w:numPr>
                <w:ilvl w:val="1"/>
                <w:numId w:val="40"/>
              </w:numPr>
              <w:rPr>
                <w:rFonts w:ascii="Arial" w:hAnsi="Arial" w:cs="Arial"/>
                <w:color w:val="000000"/>
                <w:sz w:val="20"/>
              </w:rPr>
            </w:pPr>
            <w:r w:rsidRPr="008404B5">
              <w:rPr>
                <w:rFonts w:ascii="Arial" w:hAnsi="Arial" w:cs="Arial"/>
                <w:color w:val="000000"/>
                <w:sz w:val="20"/>
              </w:rPr>
              <w:t xml:space="preserve">Assessment of location of habitable windows and shadow diagrams if they are present on the Western side for 3 Waratah Avenue </w:t>
            </w:r>
          </w:p>
          <w:p w:rsidR="008404B5" w:rsidRPr="008404B5" w:rsidRDefault="008404B5" w:rsidP="008404B5">
            <w:pPr>
              <w:numPr>
                <w:ilvl w:val="1"/>
                <w:numId w:val="40"/>
              </w:numPr>
              <w:rPr>
                <w:rFonts w:ascii="Arial" w:hAnsi="Arial" w:cs="Arial"/>
                <w:color w:val="000000"/>
                <w:sz w:val="20"/>
              </w:rPr>
            </w:pPr>
            <w:r w:rsidRPr="008404B5">
              <w:rPr>
                <w:rFonts w:ascii="Arial" w:hAnsi="Arial" w:cs="Arial"/>
                <w:color w:val="000000"/>
                <w:sz w:val="20"/>
              </w:rPr>
              <w:t xml:space="preserve">Shadow diagrams for each hour to completely understand impact and assess if solar access is significantly reduced </w:t>
            </w:r>
          </w:p>
        </w:tc>
        <w:tc>
          <w:tcPr>
            <w:tcW w:w="4678" w:type="dxa"/>
            <w:shd w:val="clear" w:color="auto" w:fill="FFFFFF"/>
          </w:tcPr>
          <w:p w:rsidR="008404B5" w:rsidRPr="008404B5" w:rsidRDefault="008404B5" w:rsidP="008404B5">
            <w:pPr>
              <w:pStyle w:val="ListParagraph0"/>
              <w:numPr>
                <w:ilvl w:val="0"/>
                <w:numId w:val="27"/>
              </w:numPr>
              <w:ind w:left="434" w:hanging="6"/>
              <w:rPr>
                <w:rFonts w:ascii="Arial" w:eastAsia="Calibri" w:hAnsi="Arial" w:cs="Arial"/>
                <w:szCs w:val="20"/>
              </w:rPr>
            </w:pPr>
            <w:r w:rsidRPr="008404B5">
              <w:rPr>
                <w:rFonts w:ascii="Arial" w:eastAsia="Calibri" w:hAnsi="Arial" w:cs="Arial"/>
                <w:szCs w:val="20"/>
              </w:rPr>
              <w:t>The shadow diagrams in ‘</w:t>
            </w:r>
            <w:r w:rsidRPr="008404B5">
              <w:rPr>
                <w:rFonts w:ascii="Arial" w:eastAsia="Calibri" w:hAnsi="Arial" w:cs="Arial"/>
                <w:b/>
                <w:i/>
                <w:szCs w:val="20"/>
              </w:rPr>
              <w:t xml:space="preserve">Appendix – D’ </w:t>
            </w:r>
            <w:r w:rsidRPr="008404B5">
              <w:rPr>
                <w:rFonts w:ascii="Arial" w:eastAsia="Calibri" w:hAnsi="Arial" w:cs="Arial"/>
                <w:szCs w:val="20"/>
              </w:rPr>
              <w:t>shows that the adjoining dwelling is receiving 3hrs of sunlight and the shadow casted at 3pm on adjoining windows and doors is from 1.8m high which is same as existing fence.</w:t>
            </w:r>
          </w:p>
          <w:p w:rsidR="008404B5" w:rsidRPr="008404B5" w:rsidRDefault="008404B5" w:rsidP="008404B5">
            <w:pPr>
              <w:pStyle w:val="ListParagraph0"/>
              <w:numPr>
                <w:ilvl w:val="0"/>
                <w:numId w:val="27"/>
              </w:numPr>
              <w:ind w:left="434" w:hanging="6"/>
              <w:rPr>
                <w:rFonts w:ascii="Arial" w:eastAsia="Calibri" w:hAnsi="Arial" w:cs="Arial"/>
                <w:szCs w:val="20"/>
              </w:rPr>
            </w:pPr>
            <w:r w:rsidRPr="008404B5">
              <w:rPr>
                <w:rFonts w:ascii="Arial" w:eastAsia="Calibri" w:hAnsi="Arial" w:cs="Arial"/>
                <w:szCs w:val="20"/>
              </w:rPr>
              <w:t>The proposed vegetation along the eastern boundary is provided for better privacy and reduce overlooking issue into the adjoining property.</w:t>
            </w:r>
          </w:p>
          <w:p w:rsidR="008404B5" w:rsidRPr="008404B5" w:rsidRDefault="008404B5" w:rsidP="008404B5">
            <w:pPr>
              <w:pStyle w:val="ListParagraph0"/>
              <w:numPr>
                <w:ilvl w:val="0"/>
                <w:numId w:val="27"/>
              </w:numPr>
              <w:ind w:left="434" w:hanging="6"/>
              <w:rPr>
                <w:rFonts w:ascii="Arial" w:eastAsia="Calibri" w:hAnsi="Arial" w:cs="Arial"/>
                <w:szCs w:val="20"/>
              </w:rPr>
            </w:pPr>
            <w:r w:rsidRPr="008404B5">
              <w:rPr>
                <w:rFonts w:ascii="Arial" w:eastAsia="Calibri" w:hAnsi="Arial" w:cs="Arial"/>
                <w:szCs w:val="20"/>
              </w:rPr>
              <w:t>The proposed development is not overshadowing the private open space of adjoining dwelling at 3 Waratah Avenue.</w:t>
            </w:r>
          </w:p>
          <w:p w:rsidR="008404B5" w:rsidRPr="008404B5" w:rsidRDefault="008404B5" w:rsidP="003C6965">
            <w:pPr>
              <w:spacing w:after="120"/>
              <w:ind w:left="434"/>
              <w:rPr>
                <w:rFonts w:ascii="Arial" w:eastAsia="Calibri" w:hAnsi="Arial" w:cs="Arial"/>
                <w:sz w:val="20"/>
              </w:rPr>
            </w:pPr>
          </w:p>
        </w:tc>
      </w:tr>
      <w:tr w:rsidR="008404B5" w:rsidRPr="008404B5" w:rsidTr="003C6965">
        <w:trPr>
          <w:cantSplit/>
        </w:trPr>
        <w:tc>
          <w:tcPr>
            <w:tcW w:w="4531" w:type="dxa"/>
            <w:shd w:val="clear" w:color="auto" w:fill="FFFFFF"/>
          </w:tcPr>
          <w:p w:rsidR="008404B5" w:rsidRPr="008404B5" w:rsidRDefault="008404B5" w:rsidP="003C6965">
            <w:pPr>
              <w:rPr>
                <w:rFonts w:ascii="Arial" w:hAnsi="Arial" w:cs="Arial"/>
                <w:color w:val="000000"/>
                <w:sz w:val="20"/>
                <w:lang w:eastAsia="en-AU"/>
              </w:rPr>
            </w:pPr>
            <w:r w:rsidRPr="008404B5">
              <w:rPr>
                <w:rFonts w:ascii="Arial" w:hAnsi="Arial" w:cs="Arial"/>
                <w:b/>
                <w:bCs/>
                <w:color w:val="000000"/>
                <w:sz w:val="20"/>
                <w:shd w:val="clear" w:color="auto" w:fill="FFFFFF"/>
              </w:rPr>
              <w:t xml:space="preserve">PO </w:t>
            </w:r>
            <w:r w:rsidRPr="008404B5">
              <w:rPr>
                <w:rFonts w:ascii="Arial" w:hAnsi="Arial" w:cs="Arial"/>
                <w:b/>
                <w:bCs/>
                <w:color w:val="000000"/>
                <w:sz w:val="20"/>
              </w:rPr>
              <w:t xml:space="preserve">7.7-10 Planning Outcomes – Visual Privacy </w:t>
            </w:r>
          </w:p>
          <w:p w:rsidR="008404B5" w:rsidRPr="008404B5" w:rsidRDefault="008404B5" w:rsidP="008404B5">
            <w:pPr>
              <w:numPr>
                <w:ilvl w:val="0"/>
                <w:numId w:val="41"/>
              </w:numPr>
              <w:rPr>
                <w:rFonts w:ascii="Arial" w:hAnsi="Arial" w:cs="Arial"/>
                <w:color w:val="000000"/>
                <w:sz w:val="20"/>
              </w:rPr>
            </w:pPr>
            <w:r w:rsidRPr="008404B5">
              <w:rPr>
                <w:rFonts w:ascii="Arial" w:hAnsi="Arial" w:cs="Arial"/>
                <w:color w:val="000000"/>
                <w:sz w:val="20"/>
              </w:rPr>
              <w:t xml:space="preserve">As per commentary under 7.7-7 Planning Outcomes – Walls and Boundaries </w:t>
            </w:r>
          </w:p>
          <w:p w:rsidR="008404B5" w:rsidRPr="008404B5" w:rsidRDefault="008404B5" w:rsidP="008404B5">
            <w:pPr>
              <w:numPr>
                <w:ilvl w:val="0"/>
                <w:numId w:val="41"/>
              </w:numPr>
              <w:rPr>
                <w:rFonts w:ascii="Arial" w:hAnsi="Arial" w:cs="Arial"/>
                <w:color w:val="000000"/>
                <w:sz w:val="20"/>
              </w:rPr>
            </w:pPr>
            <w:r w:rsidRPr="008404B5">
              <w:rPr>
                <w:rFonts w:ascii="Arial" w:hAnsi="Arial" w:cs="Arial"/>
                <w:color w:val="000000"/>
                <w:sz w:val="20"/>
              </w:rPr>
              <w:t xml:space="preserve">Highlight windows on Eastern elevation of Units 3-6 have been suitably utilised to ameliorate any visual privacy impacts, similarly the 1.8m high fence and landscaping will provide suitable screening and privacy to the neighbours to the North. </w:t>
            </w:r>
          </w:p>
        </w:tc>
        <w:tc>
          <w:tcPr>
            <w:tcW w:w="4678" w:type="dxa"/>
            <w:shd w:val="clear" w:color="auto" w:fill="FFFFFF"/>
          </w:tcPr>
          <w:p w:rsidR="008404B5" w:rsidRPr="008404B5" w:rsidRDefault="008404B5" w:rsidP="003C6965">
            <w:pPr>
              <w:spacing w:after="120"/>
              <w:rPr>
                <w:rFonts w:ascii="Arial" w:eastAsia="Calibri" w:hAnsi="Arial" w:cs="Arial"/>
                <w:sz w:val="20"/>
              </w:rPr>
            </w:pPr>
          </w:p>
          <w:p w:rsidR="008404B5" w:rsidRPr="008404B5" w:rsidRDefault="008404B5" w:rsidP="008404B5">
            <w:pPr>
              <w:pStyle w:val="ListParagraph0"/>
              <w:numPr>
                <w:ilvl w:val="0"/>
                <w:numId w:val="27"/>
              </w:numPr>
              <w:ind w:left="434" w:hanging="6"/>
              <w:rPr>
                <w:rFonts w:ascii="Arial" w:eastAsia="Calibri" w:hAnsi="Arial" w:cs="Arial"/>
                <w:szCs w:val="20"/>
              </w:rPr>
            </w:pPr>
            <w:r w:rsidRPr="008404B5">
              <w:rPr>
                <w:rFonts w:ascii="Arial" w:eastAsia="Calibri" w:hAnsi="Arial" w:cs="Arial"/>
                <w:szCs w:val="20"/>
              </w:rPr>
              <w:t>The reduction in height of OSD tank and car park area will minimise the visual privacy impacts. Please refer to response no. 10 &amp; 11.</w:t>
            </w:r>
          </w:p>
          <w:p w:rsidR="008404B5" w:rsidRPr="008404B5" w:rsidRDefault="008404B5" w:rsidP="008404B5">
            <w:pPr>
              <w:pStyle w:val="ListParagraph0"/>
              <w:numPr>
                <w:ilvl w:val="0"/>
                <w:numId w:val="27"/>
              </w:numPr>
              <w:ind w:left="434" w:hanging="6"/>
              <w:rPr>
                <w:rFonts w:ascii="Arial" w:eastAsia="Calibri" w:hAnsi="Arial" w:cs="Arial"/>
                <w:szCs w:val="20"/>
              </w:rPr>
            </w:pPr>
            <w:r w:rsidRPr="008404B5">
              <w:rPr>
                <w:rFonts w:ascii="Arial" w:eastAsia="Calibri" w:hAnsi="Arial" w:cs="Arial"/>
                <w:szCs w:val="20"/>
              </w:rPr>
              <w:t>High sill of 1200mm is proposed for windows proposed along eastern boundary for Units 3-6 which will minimise the visual privacy impacts.</w:t>
            </w:r>
          </w:p>
          <w:p w:rsidR="008404B5" w:rsidRPr="008404B5" w:rsidRDefault="008404B5" w:rsidP="003C6965">
            <w:pPr>
              <w:pStyle w:val="ListParagraph0"/>
              <w:ind w:left="434"/>
              <w:rPr>
                <w:rFonts w:ascii="Arial" w:eastAsia="Calibri" w:hAnsi="Arial" w:cs="Arial"/>
                <w:szCs w:val="20"/>
              </w:rPr>
            </w:pPr>
          </w:p>
        </w:tc>
      </w:tr>
      <w:tr w:rsidR="008404B5" w:rsidRPr="008404B5" w:rsidTr="003C6965">
        <w:trPr>
          <w:cantSplit/>
        </w:trPr>
        <w:tc>
          <w:tcPr>
            <w:tcW w:w="4531" w:type="dxa"/>
            <w:shd w:val="clear" w:color="auto" w:fill="FFFFFF"/>
          </w:tcPr>
          <w:p w:rsidR="008404B5" w:rsidRPr="008404B5" w:rsidRDefault="008404B5" w:rsidP="003C6965">
            <w:pPr>
              <w:rPr>
                <w:rFonts w:ascii="Arial" w:hAnsi="Arial" w:cs="Arial"/>
                <w:color w:val="000000"/>
                <w:sz w:val="20"/>
                <w:lang w:eastAsia="en-AU"/>
              </w:rPr>
            </w:pPr>
            <w:r w:rsidRPr="008404B5">
              <w:rPr>
                <w:rFonts w:ascii="Arial" w:hAnsi="Arial" w:cs="Arial"/>
                <w:b/>
                <w:bCs/>
                <w:color w:val="000000"/>
                <w:sz w:val="20"/>
              </w:rPr>
              <w:t xml:space="preserve">PO 7.7-12 Planning Outcomes – Security </w:t>
            </w:r>
          </w:p>
          <w:p w:rsidR="008404B5" w:rsidRPr="008404B5" w:rsidRDefault="008404B5" w:rsidP="008404B5">
            <w:pPr>
              <w:numPr>
                <w:ilvl w:val="0"/>
                <w:numId w:val="42"/>
              </w:numPr>
              <w:rPr>
                <w:rFonts w:ascii="Arial" w:hAnsi="Arial" w:cs="Arial"/>
                <w:color w:val="000000"/>
                <w:sz w:val="20"/>
              </w:rPr>
            </w:pPr>
            <w:r w:rsidRPr="008404B5">
              <w:rPr>
                <w:rFonts w:ascii="Arial" w:hAnsi="Arial" w:cs="Arial"/>
                <w:color w:val="000000"/>
                <w:sz w:val="20"/>
              </w:rPr>
              <w:t xml:space="preserve">A CPTED report should be prepared to ensure that passive surveillance to the street is adequate not concealed by the landscaping. </w:t>
            </w:r>
          </w:p>
        </w:tc>
        <w:tc>
          <w:tcPr>
            <w:tcW w:w="4678" w:type="dxa"/>
            <w:shd w:val="clear" w:color="auto" w:fill="FFFFFF"/>
          </w:tcPr>
          <w:p w:rsidR="008404B5" w:rsidRPr="008404B5" w:rsidRDefault="008404B5" w:rsidP="008404B5">
            <w:pPr>
              <w:pStyle w:val="ListParagraph0"/>
              <w:numPr>
                <w:ilvl w:val="0"/>
                <w:numId w:val="27"/>
              </w:numPr>
              <w:ind w:left="434" w:hanging="6"/>
              <w:rPr>
                <w:rFonts w:ascii="Arial" w:eastAsia="Calibri" w:hAnsi="Arial" w:cs="Arial"/>
                <w:szCs w:val="20"/>
              </w:rPr>
            </w:pPr>
            <w:r w:rsidRPr="008404B5">
              <w:rPr>
                <w:rFonts w:ascii="Arial" w:eastAsia="Calibri" w:hAnsi="Arial" w:cs="Arial"/>
                <w:szCs w:val="20"/>
              </w:rPr>
              <w:t>Appropriate plant species are proposed which ensures privacy as well as provide clear sightlines to the street.</w:t>
            </w:r>
          </w:p>
          <w:p w:rsidR="008404B5" w:rsidRPr="008404B5" w:rsidRDefault="008404B5" w:rsidP="008404B5">
            <w:pPr>
              <w:pStyle w:val="ListParagraph0"/>
              <w:numPr>
                <w:ilvl w:val="0"/>
                <w:numId w:val="27"/>
              </w:numPr>
              <w:ind w:left="434" w:hanging="6"/>
              <w:rPr>
                <w:rFonts w:ascii="Arial" w:eastAsia="Calibri" w:hAnsi="Arial" w:cs="Arial"/>
                <w:szCs w:val="20"/>
              </w:rPr>
            </w:pPr>
            <w:r w:rsidRPr="008404B5">
              <w:rPr>
                <w:rFonts w:ascii="Arial" w:eastAsia="Calibri" w:hAnsi="Arial" w:cs="Arial"/>
                <w:szCs w:val="20"/>
              </w:rPr>
              <w:t>The proposal is considered to comply with CPTED principles in its design and is consistent with the requirements of the Seniors Living Urban Design Guidelines with regard to safety. ‘</w:t>
            </w:r>
            <w:r w:rsidRPr="008404B5">
              <w:rPr>
                <w:rFonts w:ascii="Arial" w:eastAsia="Calibri" w:hAnsi="Arial" w:cs="Arial"/>
                <w:b/>
                <w:szCs w:val="20"/>
              </w:rPr>
              <w:t>Appendix L’</w:t>
            </w:r>
          </w:p>
        </w:tc>
      </w:tr>
      <w:tr w:rsidR="008404B5" w:rsidRPr="008404B5" w:rsidTr="003C6965">
        <w:trPr>
          <w:cantSplit/>
        </w:trPr>
        <w:tc>
          <w:tcPr>
            <w:tcW w:w="4531" w:type="dxa"/>
            <w:shd w:val="clear" w:color="auto" w:fill="FFFFFF"/>
          </w:tcPr>
          <w:p w:rsidR="008404B5" w:rsidRPr="008404B5" w:rsidRDefault="008404B5" w:rsidP="003C6965">
            <w:pPr>
              <w:rPr>
                <w:rFonts w:ascii="Arial" w:hAnsi="Arial" w:cs="Arial"/>
                <w:color w:val="000000"/>
                <w:sz w:val="20"/>
                <w:lang w:eastAsia="en-AU"/>
              </w:rPr>
            </w:pPr>
            <w:r w:rsidRPr="008404B5">
              <w:rPr>
                <w:rFonts w:ascii="Arial" w:hAnsi="Arial" w:cs="Arial"/>
                <w:b/>
                <w:bCs/>
                <w:color w:val="000000"/>
                <w:sz w:val="20"/>
              </w:rPr>
              <w:lastRenderedPageBreak/>
              <w:t xml:space="preserve">PO 7.7-16 Planning Outcomes – Private Open Space </w:t>
            </w:r>
          </w:p>
          <w:p w:rsidR="008404B5" w:rsidRPr="008404B5" w:rsidRDefault="008404B5" w:rsidP="008404B5">
            <w:pPr>
              <w:numPr>
                <w:ilvl w:val="0"/>
                <w:numId w:val="43"/>
              </w:numPr>
              <w:rPr>
                <w:rFonts w:ascii="Arial" w:hAnsi="Arial" w:cs="Arial"/>
                <w:color w:val="000000"/>
                <w:sz w:val="20"/>
              </w:rPr>
            </w:pPr>
            <w:r w:rsidRPr="008404B5">
              <w:rPr>
                <w:rFonts w:ascii="Arial" w:hAnsi="Arial" w:cs="Arial"/>
                <w:color w:val="000000"/>
                <w:sz w:val="20"/>
              </w:rPr>
              <w:t>Private open space for unit 1 (14.32m</w:t>
            </w:r>
            <w:r w:rsidRPr="008404B5">
              <w:rPr>
                <w:rFonts w:ascii="Arial" w:hAnsi="Arial" w:cs="Arial"/>
                <w:color w:val="000000"/>
                <w:sz w:val="20"/>
                <w:vertAlign w:val="superscript"/>
              </w:rPr>
              <w:t xml:space="preserve">2 </w:t>
            </w:r>
            <w:r w:rsidRPr="008404B5">
              <w:rPr>
                <w:rFonts w:ascii="Arial" w:hAnsi="Arial" w:cs="Arial"/>
                <w:color w:val="000000"/>
                <w:sz w:val="20"/>
              </w:rPr>
              <w:t>– 19% of total GFA), unit 2 (20.15m</w:t>
            </w:r>
            <w:r w:rsidRPr="008404B5">
              <w:rPr>
                <w:rFonts w:ascii="Arial" w:hAnsi="Arial" w:cs="Arial"/>
                <w:color w:val="000000"/>
                <w:sz w:val="20"/>
                <w:vertAlign w:val="superscript"/>
              </w:rPr>
              <w:t xml:space="preserve">2 </w:t>
            </w:r>
            <w:r w:rsidRPr="008404B5">
              <w:rPr>
                <w:rFonts w:ascii="Arial" w:hAnsi="Arial" w:cs="Arial"/>
                <w:color w:val="000000"/>
                <w:sz w:val="20"/>
              </w:rPr>
              <w:t>– 28% of total GFA), unit 3 (20.35m</w:t>
            </w:r>
            <w:r w:rsidRPr="008404B5">
              <w:rPr>
                <w:rFonts w:ascii="Arial" w:hAnsi="Arial" w:cs="Arial"/>
                <w:color w:val="000000"/>
                <w:sz w:val="20"/>
                <w:vertAlign w:val="superscript"/>
              </w:rPr>
              <w:t>2</w:t>
            </w:r>
            <w:r w:rsidRPr="008404B5">
              <w:rPr>
                <w:rFonts w:ascii="Arial" w:hAnsi="Arial" w:cs="Arial"/>
                <w:color w:val="000000"/>
                <w:sz w:val="20"/>
              </w:rPr>
              <w:t xml:space="preserve"> – 39% of total GFA), unit 4 (79.35m</w:t>
            </w:r>
            <w:r w:rsidRPr="008404B5">
              <w:rPr>
                <w:rFonts w:ascii="Arial" w:hAnsi="Arial" w:cs="Arial"/>
                <w:color w:val="000000"/>
                <w:sz w:val="20"/>
                <w:vertAlign w:val="superscript"/>
              </w:rPr>
              <w:t>2</w:t>
            </w:r>
            <w:r w:rsidRPr="008404B5">
              <w:rPr>
                <w:rFonts w:ascii="Arial" w:hAnsi="Arial" w:cs="Arial"/>
                <w:color w:val="000000"/>
                <w:sz w:val="20"/>
              </w:rPr>
              <w:t xml:space="preserve"> – 155% of total GFA), units 5 (8.21m</w:t>
            </w:r>
            <w:r w:rsidRPr="008404B5">
              <w:rPr>
                <w:rFonts w:ascii="Arial" w:hAnsi="Arial" w:cs="Arial"/>
                <w:color w:val="000000"/>
                <w:sz w:val="20"/>
                <w:vertAlign w:val="superscript"/>
              </w:rPr>
              <w:t>2</w:t>
            </w:r>
            <w:r w:rsidRPr="008404B5">
              <w:rPr>
                <w:rFonts w:ascii="Arial" w:hAnsi="Arial" w:cs="Arial"/>
                <w:color w:val="000000"/>
                <w:sz w:val="20"/>
              </w:rPr>
              <w:t xml:space="preserve"> – 8.21 – 15.2% of total GFA) and 6 (8.21m</w:t>
            </w:r>
            <w:r w:rsidRPr="008404B5">
              <w:rPr>
                <w:rFonts w:ascii="Arial" w:hAnsi="Arial" w:cs="Arial"/>
                <w:color w:val="000000"/>
                <w:sz w:val="20"/>
                <w:vertAlign w:val="superscript"/>
              </w:rPr>
              <w:t>2</w:t>
            </w:r>
            <w:r w:rsidRPr="008404B5">
              <w:rPr>
                <w:rFonts w:ascii="Arial" w:hAnsi="Arial" w:cs="Arial"/>
                <w:color w:val="000000"/>
                <w:sz w:val="20"/>
              </w:rPr>
              <w:t xml:space="preserve"> – 15% of total GFA). </w:t>
            </w:r>
          </w:p>
          <w:p w:rsidR="008404B5" w:rsidRPr="008404B5" w:rsidRDefault="008404B5" w:rsidP="008404B5">
            <w:pPr>
              <w:numPr>
                <w:ilvl w:val="0"/>
                <w:numId w:val="43"/>
              </w:numPr>
              <w:rPr>
                <w:rFonts w:ascii="Arial" w:hAnsi="Arial" w:cs="Arial"/>
                <w:color w:val="000000"/>
                <w:sz w:val="20"/>
              </w:rPr>
            </w:pPr>
            <w:r w:rsidRPr="008404B5">
              <w:rPr>
                <w:rFonts w:ascii="Arial" w:hAnsi="Arial" w:cs="Arial"/>
                <w:color w:val="000000"/>
                <w:sz w:val="20"/>
              </w:rPr>
              <w:t xml:space="preserve">Private open space for units 1, 2, 3 is not considered compliant with Council’s DCP, noting the site is constrained in layout. Further consideration of communal open space opportunities should be given especially where unit 4 provides more than the requirements to ensure equitable open space opportunities for all residents. </w:t>
            </w:r>
          </w:p>
        </w:tc>
        <w:tc>
          <w:tcPr>
            <w:tcW w:w="4678" w:type="dxa"/>
            <w:shd w:val="clear" w:color="auto" w:fill="FFFFFF"/>
          </w:tcPr>
          <w:p w:rsidR="008404B5" w:rsidRPr="008404B5" w:rsidRDefault="008404B5" w:rsidP="008404B5">
            <w:pPr>
              <w:pStyle w:val="ListParagraph0"/>
              <w:numPr>
                <w:ilvl w:val="0"/>
                <w:numId w:val="27"/>
              </w:numPr>
              <w:ind w:left="434" w:hanging="6"/>
              <w:rPr>
                <w:rFonts w:ascii="Arial" w:eastAsia="Calibri" w:hAnsi="Arial" w:cs="Arial"/>
                <w:szCs w:val="20"/>
              </w:rPr>
            </w:pPr>
            <w:r w:rsidRPr="008404B5">
              <w:rPr>
                <w:rFonts w:ascii="Arial" w:eastAsia="Calibri" w:hAnsi="Arial" w:cs="Arial"/>
                <w:szCs w:val="20"/>
              </w:rPr>
              <w:t xml:space="preserve">The Private Open Space area in development data table for Unit 1, 2 &amp; 3 accounts for hard surface area only. </w:t>
            </w:r>
          </w:p>
          <w:p w:rsidR="008404B5" w:rsidRPr="008404B5" w:rsidRDefault="008404B5" w:rsidP="008404B5">
            <w:pPr>
              <w:pStyle w:val="ListParagraph0"/>
              <w:numPr>
                <w:ilvl w:val="0"/>
                <w:numId w:val="27"/>
              </w:numPr>
              <w:ind w:left="434" w:hanging="6"/>
              <w:rPr>
                <w:rFonts w:ascii="Arial" w:eastAsia="Calibri" w:hAnsi="Arial" w:cs="Arial"/>
                <w:szCs w:val="20"/>
              </w:rPr>
            </w:pPr>
            <w:r w:rsidRPr="008404B5">
              <w:rPr>
                <w:rFonts w:ascii="Arial" w:eastAsia="Calibri" w:hAnsi="Arial" w:cs="Arial"/>
                <w:szCs w:val="20"/>
              </w:rPr>
              <w:t>The total proposed POS (Hard + soft landscape) for Ground floor units are as follows:</w:t>
            </w:r>
          </w:p>
          <w:p w:rsidR="008404B5" w:rsidRPr="008404B5" w:rsidRDefault="008404B5" w:rsidP="008404B5">
            <w:pPr>
              <w:pStyle w:val="ListParagraph0"/>
              <w:numPr>
                <w:ilvl w:val="0"/>
                <w:numId w:val="20"/>
              </w:numPr>
              <w:spacing w:after="0"/>
              <w:ind w:left="1026" w:hanging="357"/>
              <w:rPr>
                <w:rFonts w:ascii="Arial" w:eastAsia="Calibri" w:hAnsi="Arial" w:cs="Arial"/>
                <w:szCs w:val="20"/>
              </w:rPr>
            </w:pPr>
            <w:r w:rsidRPr="008404B5">
              <w:rPr>
                <w:rFonts w:ascii="Arial" w:eastAsia="Calibri" w:hAnsi="Arial" w:cs="Arial"/>
                <w:szCs w:val="20"/>
              </w:rPr>
              <w:t xml:space="preserve">Unit 1 : 80.3m² , </w:t>
            </w:r>
          </w:p>
          <w:p w:rsidR="008404B5" w:rsidRPr="008404B5" w:rsidRDefault="008404B5" w:rsidP="008404B5">
            <w:pPr>
              <w:pStyle w:val="ListParagraph0"/>
              <w:numPr>
                <w:ilvl w:val="0"/>
                <w:numId w:val="20"/>
              </w:numPr>
              <w:spacing w:after="0"/>
              <w:ind w:left="1026" w:hanging="357"/>
              <w:rPr>
                <w:rFonts w:ascii="Arial" w:eastAsia="Calibri" w:hAnsi="Arial" w:cs="Arial"/>
                <w:szCs w:val="20"/>
              </w:rPr>
            </w:pPr>
            <w:r w:rsidRPr="008404B5">
              <w:rPr>
                <w:rFonts w:ascii="Arial" w:eastAsia="Calibri" w:hAnsi="Arial" w:cs="Arial"/>
                <w:szCs w:val="20"/>
              </w:rPr>
              <w:t xml:space="preserve">Unit 2 : 38.83m², </w:t>
            </w:r>
          </w:p>
          <w:p w:rsidR="008404B5" w:rsidRPr="008404B5" w:rsidRDefault="008404B5" w:rsidP="008404B5">
            <w:pPr>
              <w:pStyle w:val="ListParagraph0"/>
              <w:numPr>
                <w:ilvl w:val="0"/>
                <w:numId w:val="20"/>
              </w:numPr>
              <w:spacing w:after="0"/>
              <w:ind w:left="1026" w:hanging="357"/>
              <w:rPr>
                <w:rFonts w:ascii="Arial" w:eastAsia="Calibri" w:hAnsi="Arial" w:cs="Arial"/>
                <w:szCs w:val="20"/>
              </w:rPr>
            </w:pPr>
            <w:r w:rsidRPr="008404B5">
              <w:rPr>
                <w:rFonts w:ascii="Arial" w:eastAsia="Calibri" w:hAnsi="Arial" w:cs="Arial"/>
                <w:szCs w:val="20"/>
              </w:rPr>
              <w:t xml:space="preserve">Unit 3 : 87.66m², </w:t>
            </w:r>
          </w:p>
          <w:p w:rsidR="008404B5" w:rsidRPr="008404B5" w:rsidRDefault="008404B5" w:rsidP="008404B5">
            <w:pPr>
              <w:pStyle w:val="ListParagraph0"/>
              <w:numPr>
                <w:ilvl w:val="0"/>
                <w:numId w:val="20"/>
              </w:numPr>
              <w:spacing w:after="0"/>
              <w:ind w:left="1026" w:hanging="357"/>
              <w:rPr>
                <w:rFonts w:ascii="Arial" w:eastAsia="Calibri" w:hAnsi="Arial" w:cs="Arial"/>
                <w:szCs w:val="20"/>
              </w:rPr>
            </w:pPr>
            <w:r w:rsidRPr="008404B5">
              <w:rPr>
                <w:rFonts w:ascii="Arial" w:eastAsia="Calibri" w:hAnsi="Arial" w:cs="Arial"/>
                <w:szCs w:val="20"/>
              </w:rPr>
              <w:t>Unit 4 : 79m²</w:t>
            </w:r>
          </w:p>
          <w:p w:rsidR="008404B5" w:rsidRPr="008404B5" w:rsidRDefault="008404B5" w:rsidP="003C6965">
            <w:pPr>
              <w:pStyle w:val="ListParagraph0"/>
              <w:ind w:left="569"/>
              <w:rPr>
                <w:rFonts w:ascii="Arial" w:eastAsia="Calibri" w:hAnsi="Arial" w:cs="Arial"/>
                <w:szCs w:val="20"/>
              </w:rPr>
            </w:pPr>
            <w:r w:rsidRPr="008404B5">
              <w:rPr>
                <w:rFonts w:ascii="Arial" w:eastAsia="Calibri" w:hAnsi="Arial" w:cs="Arial"/>
                <w:szCs w:val="20"/>
              </w:rPr>
              <w:t xml:space="preserve"> </w:t>
            </w:r>
          </w:p>
          <w:p w:rsidR="008404B5" w:rsidRPr="008404B5" w:rsidRDefault="008404B5" w:rsidP="008404B5">
            <w:pPr>
              <w:pStyle w:val="ListParagraph0"/>
              <w:numPr>
                <w:ilvl w:val="0"/>
                <w:numId w:val="27"/>
              </w:numPr>
              <w:ind w:left="434" w:hanging="6"/>
              <w:rPr>
                <w:rFonts w:ascii="Arial" w:eastAsia="Calibri" w:hAnsi="Arial" w:cs="Arial"/>
                <w:szCs w:val="20"/>
              </w:rPr>
            </w:pPr>
            <w:r w:rsidRPr="008404B5">
              <w:rPr>
                <w:rFonts w:ascii="Arial" w:eastAsia="Calibri" w:hAnsi="Arial" w:cs="Arial"/>
                <w:szCs w:val="20"/>
              </w:rPr>
              <w:t>The proposed POS area for ground floor and first floor units are in compliance with the requirements under ARH SEPP.</w:t>
            </w:r>
          </w:p>
        </w:tc>
      </w:tr>
      <w:tr w:rsidR="008404B5" w:rsidRPr="008404B5" w:rsidTr="003C6965">
        <w:trPr>
          <w:cantSplit/>
        </w:trPr>
        <w:tc>
          <w:tcPr>
            <w:tcW w:w="4531" w:type="dxa"/>
            <w:shd w:val="clear" w:color="auto" w:fill="FFFFFF"/>
          </w:tcPr>
          <w:p w:rsidR="008404B5" w:rsidRPr="008404B5" w:rsidRDefault="008404B5" w:rsidP="003C6965">
            <w:pPr>
              <w:rPr>
                <w:rFonts w:ascii="Arial" w:hAnsi="Arial" w:cs="Arial"/>
                <w:color w:val="000000"/>
                <w:sz w:val="20"/>
                <w:lang w:eastAsia="en-AU"/>
              </w:rPr>
            </w:pPr>
            <w:r w:rsidRPr="008404B5">
              <w:rPr>
                <w:rFonts w:ascii="Arial" w:hAnsi="Arial" w:cs="Arial"/>
                <w:b/>
                <w:bCs/>
                <w:color w:val="000000"/>
                <w:sz w:val="20"/>
              </w:rPr>
              <w:t xml:space="preserve">PO 7.7-18 Planning Outcomes – Stormwater </w:t>
            </w:r>
          </w:p>
          <w:p w:rsidR="008404B5" w:rsidRPr="008404B5" w:rsidRDefault="008404B5" w:rsidP="008404B5">
            <w:pPr>
              <w:numPr>
                <w:ilvl w:val="0"/>
                <w:numId w:val="7"/>
              </w:numPr>
              <w:ind w:left="709"/>
              <w:rPr>
                <w:rFonts w:ascii="Arial" w:hAnsi="Arial" w:cs="Arial"/>
                <w:color w:val="000000"/>
                <w:sz w:val="20"/>
              </w:rPr>
            </w:pPr>
            <w:r w:rsidRPr="008404B5">
              <w:rPr>
                <w:rFonts w:ascii="Arial" w:hAnsi="Arial" w:cs="Arial"/>
                <w:color w:val="000000"/>
                <w:sz w:val="20"/>
              </w:rPr>
              <w:t xml:space="preserve">Councils’ engineers have noted concern regarding the on-site retention tanks and drainage causing nuisance flows to adjoining properties to the East of the site. Concerns have been raised that this will exacerbate flooding problems experience along and at the end of Waratah Avenue. </w:t>
            </w:r>
          </w:p>
          <w:p w:rsidR="008404B5" w:rsidRPr="008404B5" w:rsidRDefault="008404B5" w:rsidP="008404B5">
            <w:pPr>
              <w:numPr>
                <w:ilvl w:val="0"/>
                <w:numId w:val="7"/>
              </w:numPr>
              <w:ind w:left="709"/>
              <w:rPr>
                <w:rFonts w:ascii="Arial" w:eastAsia="Calibri" w:hAnsi="Arial" w:cs="Arial"/>
                <w:sz w:val="20"/>
              </w:rPr>
            </w:pPr>
            <w:r w:rsidRPr="008404B5">
              <w:rPr>
                <w:rFonts w:ascii="Arial" w:hAnsi="Arial" w:cs="Arial"/>
                <w:color w:val="000000"/>
                <w:sz w:val="20"/>
              </w:rPr>
              <w:t xml:space="preserve">Councils’ engineers recommend alternative solutions be sought through Councils existing stormwater system. </w:t>
            </w:r>
          </w:p>
        </w:tc>
        <w:tc>
          <w:tcPr>
            <w:tcW w:w="4678" w:type="dxa"/>
            <w:shd w:val="clear" w:color="auto" w:fill="FFFFFF"/>
          </w:tcPr>
          <w:p w:rsidR="008404B5" w:rsidRPr="008404B5" w:rsidRDefault="008404B5" w:rsidP="008404B5">
            <w:pPr>
              <w:numPr>
                <w:ilvl w:val="0"/>
                <w:numId w:val="27"/>
              </w:numPr>
              <w:ind w:left="434" w:hanging="6"/>
              <w:rPr>
                <w:rFonts w:ascii="Arial" w:eastAsia="Calibri" w:hAnsi="Arial" w:cs="Arial"/>
                <w:sz w:val="20"/>
              </w:rPr>
            </w:pPr>
            <w:r w:rsidRPr="008404B5">
              <w:rPr>
                <w:rFonts w:ascii="Arial" w:eastAsia="Calibri" w:hAnsi="Arial" w:cs="Arial"/>
                <w:sz w:val="20"/>
              </w:rPr>
              <w:t>The design of proposed OSD tank of 500mm, extra pits for maintenance and stormwater system is supported by the Council engineers. ‘</w:t>
            </w:r>
            <w:r w:rsidRPr="008404B5">
              <w:rPr>
                <w:rFonts w:ascii="Arial" w:eastAsia="Calibri" w:hAnsi="Arial" w:cs="Arial"/>
                <w:b/>
                <w:sz w:val="20"/>
              </w:rPr>
              <w:t>Appendix – B’</w:t>
            </w:r>
            <w:r w:rsidRPr="008404B5">
              <w:rPr>
                <w:rFonts w:ascii="Arial" w:eastAsia="Calibri" w:hAnsi="Arial" w:cs="Arial"/>
                <w:sz w:val="20"/>
              </w:rPr>
              <w:t xml:space="preserve">  </w:t>
            </w:r>
          </w:p>
        </w:tc>
      </w:tr>
      <w:tr w:rsidR="008404B5" w:rsidRPr="008404B5" w:rsidTr="003C6965">
        <w:trPr>
          <w:cantSplit/>
        </w:trPr>
        <w:tc>
          <w:tcPr>
            <w:tcW w:w="4531" w:type="dxa"/>
            <w:shd w:val="clear" w:color="auto" w:fill="FFFFFF"/>
          </w:tcPr>
          <w:p w:rsidR="008404B5" w:rsidRPr="008404B5" w:rsidRDefault="008404B5" w:rsidP="003C6965">
            <w:pPr>
              <w:rPr>
                <w:rFonts w:ascii="Arial" w:hAnsi="Arial" w:cs="Arial"/>
                <w:color w:val="000000"/>
                <w:sz w:val="20"/>
                <w:lang w:eastAsia="en-AU"/>
              </w:rPr>
            </w:pPr>
            <w:r w:rsidRPr="008404B5">
              <w:rPr>
                <w:rFonts w:ascii="Arial" w:hAnsi="Arial" w:cs="Arial"/>
                <w:b/>
                <w:bCs/>
                <w:color w:val="000000"/>
                <w:sz w:val="20"/>
              </w:rPr>
              <w:lastRenderedPageBreak/>
              <w:t xml:space="preserve">SECTION 7.11 CONTRIBUTIONS </w:t>
            </w:r>
          </w:p>
          <w:p w:rsidR="008404B5" w:rsidRPr="008404B5" w:rsidRDefault="008404B5" w:rsidP="003C6965">
            <w:pPr>
              <w:rPr>
                <w:rFonts w:ascii="Arial" w:hAnsi="Arial" w:cs="Arial"/>
                <w:color w:val="C00000"/>
                <w:sz w:val="20"/>
              </w:rPr>
            </w:pPr>
            <w:r w:rsidRPr="008404B5">
              <w:rPr>
                <w:rFonts w:ascii="Arial" w:hAnsi="Arial" w:cs="Arial"/>
                <w:color w:val="000000"/>
                <w:sz w:val="20"/>
              </w:rPr>
              <w:t xml:space="preserve">The payment of </w:t>
            </w:r>
            <w:r w:rsidRPr="008404B5">
              <w:rPr>
                <w:rFonts w:ascii="Arial" w:hAnsi="Arial" w:cs="Arial"/>
                <w:b/>
                <w:bCs/>
                <w:color w:val="000000"/>
                <w:sz w:val="20"/>
              </w:rPr>
              <w:t xml:space="preserve">$10,724.32 </w:t>
            </w:r>
            <w:r w:rsidRPr="008404B5">
              <w:rPr>
                <w:rFonts w:ascii="Arial" w:hAnsi="Arial" w:cs="Arial"/>
                <w:color w:val="000000"/>
                <w:sz w:val="20"/>
              </w:rPr>
              <w:t xml:space="preserve">is to be made to Council in accordance with </w:t>
            </w:r>
            <w:r w:rsidRPr="008404B5">
              <w:rPr>
                <w:rFonts w:ascii="Arial" w:hAnsi="Arial" w:cs="Arial"/>
                <w:i/>
                <w:iCs/>
                <w:color w:val="000000"/>
                <w:sz w:val="20"/>
              </w:rPr>
              <w:t>Section 7.11</w:t>
            </w:r>
            <w:r w:rsidRPr="008404B5">
              <w:rPr>
                <w:rFonts w:ascii="Arial" w:hAnsi="Arial" w:cs="Arial"/>
                <w:color w:val="000000"/>
                <w:sz w:val="20"/>
              </w:rPr>
              <w:t xml:space="preserve"> of the </w:t>
            </w:r>
            <w:r w:rsidRPr="008404B5">
              <w:rPr>
                <w:rFonts w:ascii="Arial" w:hAnsi="Arial" w:cs="Arial"/>
                <w:i/>
                <w:iCs/>
                <w:color w:val="000000"/>
                <w:sz w:val="20"/>
              </w:rPr>
              <w:t>Environmental Planning and Assessment Act 1979</w:t>
            </w:r>
            <w:r w:rsidRPr="008404B5">
              <w:rPr>
                <w:rFonts w:ascii="Arial" w:hAnsi="Arial" w:cs="Arial"/>
                <w:color w:val="000000"/>
                <w:sz w:val="20"/>
              </w:rPr>
              <w:t xml:space="preserve"> and </w:t>
            </w:r>
            <w:r w:rsidRPr="008404B5">
              <w:rPr>
                <w:rFonts w:ascii="Arial" w:hAnsi="Arial" w:cs="Arial"/>
                <w:i/>
                <w:iCs/>
                <w:color w:val="000000"/>
                <w:sz w:val="20"/>
              </w:rPr>
              <w:t>Orange Development Contributions Plan 2017</w:t>
            </w:r>
            <w:r w:rsidRPr="008404B5">
              <w:rPr>
                <w:rFonts w:ascii="Arial" w:hAnsi="Arial" w:cs="Arial"/>
                <w:color w:val="000000"/>
                <w:sz w:val="20"/>
              </w:rPr>
              <w:t xml:space="preserve"> (Remainder of LGA) towards the provision of the following public facilities:</w:t>
            </w:r>
            <w:r w:rsidRPr="008404B5">
              <w:rPr>
                <w:rFonts w:ascii="Arial" w:hAnsi="Arial" w:cs="Arial"/>
                <w:color w:val="C00000"/>
                <w:sz w:val="20"/>
              </w:rPr>
              <w:t xml:space="preserve"> </w:t>
            </w:r>
          </w:p>
          <w:p w:rsidR="008404B5" w:rsidRPr="008404B5" w:rsidRDefault="008404B5" w:rsidP="003C6965">
            <w:pPr>
              <w:rPr>
                <w:rFonts w:ascii="Arial" w:hAnsi="Arial" w:cs="Arial"/>
                <w:color w:val="000000"/>
                <w:sz w:val="20"/>
              </w:rPr>
            </w:pPr>
          </w:p>
          <w:tbl>
            <w:tblPr>
              <w:tblW w:w="414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1"/>
              <w:gridCol w:w="1418"/>
              <w:gridCol w:w="1134"/>
              <w:tblGridChange w:id="1">
                <w:tblGrid>
                  <w:gridCol w:w="1591"/>
                  <w:gridCol w:w="1418"/>
                  <w:gridCol w:w="1134"/>
                </w:tblGrid>
              </w:tblGridChange>
            </w:tblGrid>
            <w:tr w:rsidR="008404B5" w:rsidRPr="008404B5" w:rsidTr="003C6965">
              <w:tc>
                <w:tcPr>
                  <w:tcW w:w="4143" w:type="dxa"/>
                  <w:gridSpan w:val="3"/>
                  <w:shd w:val="clear" w:color="auto" w:fill="E5E5E5"/>
                  <w:tcMar>
                    <w:top w:w="0" w:type="dxa"/>
                    <w:left w:w="107" w:type="dxa"/>
                    <w:bottom w:w="0" w:type="dxa"/>
                    <w:right w:w="107" w:type="dxa"/>
                  </w:tcMar>
                </w:tcPr>
                <w:p w:rsidR="008404B5" w:rsidRPr="008404B5" w:rsidRDefault="008404B5" w:rsidP="003C6965">
                  <w:pPr>
                    <w:ind w:left="-247"/>
                    <w:rPr>
                      <w:rFonts w:ascii="Arial" w:hAnsi="Arial" w:cs="Arial"/>
                      <w:sz w:val="20"/>
                    </w:rPr>
                  </w:pPr>
                  <w:r w:rsidRPr="008404B5">
                    <w:rPr>
                      <w:rFonts w:ascii="Arial" w:hAnsi="Arial" w:cs="Arial"/>
                      <w:b/>
                      <w:bCs/>
                      <w:sz w:val="20"/>
                    </w:rPr>
                    <w:t>1 Bedroom Dwelling</w:t>
                  </w:r>
                </w:p>
              </w:tc>
            </w:tr>
            <w:tr w:rsidR="008404B5" w:rsidRPr="008404B5" w:rsidTr="003C6965">
              <w:tc>
                <w:tcPr>
                  <w:tcW w:w="1591" w:type="dxa"/>
                  <w:shd w:val="clear" w:color="auto" w:fill="E5E5E5"/>
                  <w:tcMar>
                    <w:top w:w="0" w:type="dxa"/>
                    <w:left w:w="107" w:type="dxa"/>
                    <w:bottom w:w="0" w:type="dxa"/>
                    <w:right w:w="107" w:type="dxa"/>
                  </w:tcMar>
                  <w:hideMark/>
                </w:tcPr>
                <w:p w:rsidR="008404B5" w:rsidRPr="008404B5" w:rsidRDefault="008404B5" w:rsidP="003C6965">
                  <w:pPr>
                    <w:rPr>
                      <w:rFonts w:ascii="Arial" w:hAnsi="Arial" w:cs="Arial"/>
                      <w:sz w:val="20"/>
                    </w:rPr>
                  </w:pPr>
                  <w:r w:rsidRPr="008404B5">
                    <w:rPr>
                      <w:rFonts w:ascii="Arial" w:hAnsi="Arial" w:cs="Arial"/>
                      <w:sz w:val="20"/>
                    </w:rPr>
                    <w:t xml:space="preserve">Open Space and Recreation </w:t>
                  </w:r>
                </w:p>
              </w:tc>
              <w:tc>
                <w:tcPr>
                  <w:tcW w:w="1418" w:type="dxa"/>
                  <w:tcMar>
                    <w:top w:w="0" w:type="dxa"/>
                    <w:left w:w="107" w:type="dxa"/>
                    <w:bottom w:w="0" w:type="dxa"/>
                    <w:right w:w="107" w:type="dxa"/>
                  </w:tcMar>
                  <w:hideMark/>
                </w:tcPr>
                <w:p w:rsidR="008404B5" w:rsidRPr="008404B5" w:rsidRDefault="008404B5" w:rsidP="003C6965">
                  <w:pPr>
                    <w:rPr>
                      <w:rFonts w:ascii="Arial" w:hAnsi="Arial" w:cs="Arial"/>
                      <w:sz w:val="20"/>
                    </w:rPr>
                  </w:pPr>
                  <w:r w:rsidRPr="008404B5">
                    <w:rPr>
                      <w:rFonts w:ascii="Arial" w:hAnsi="Arial" w:cs="Arial"/>
                      <w:sz w:val="20"/>
                    </w:rPr>
                    <w:t xml:space="preserve">@ $1,786.60 x 4 - 1 bedroom dwelling </w:t>
                  </w:r>
                </w:p>
              </w:tc>
              <w:tc>
                <w:tcPr>
                  <w:tcW w:w="1134" w:type="dxa"/>
                  <w:tcMar>
                    <w:top w:w="0" w:type="dxa"/>
                    <w:left w:w="107" w:type="dxa"/>
                    <w:bottom w:w="0" w:type="dxa"/>
                    <w:right w:w="107" w:type="dxa"/>
                  </w:tcMar>
                  <w:hideMark/>
                </w:tcPr>
                <w:p w:rsidR="008404B5" w:rsidRPr="008404B5" w:rsidRDefault="008404B5" w:rsidP="003C6965">
                  <w:pPr>
                    <w:ind w:left="-247"/>
                    <w:jc w:val="right"/>
                    <w:rPr>
                      <w:rFonts w:ascii="Arial" w:hAnsi="Arial" w:cs="Arial"/>
                      <w:sz w:val="20"/>
                    </w:rPr>
                  </w:pPr>
                  <w:r w:rsidRPr="008404B5">
                    <w:rPr>
                      <w:rFonts w:ascii="Arial" w:hAnsi="Arial" w:cs="Arial"/>
                      <w:sz w:val="20"/>
                    </w:rPr>
                    <w:t xml:space="preserve">7,146.40 </w:t>
                  </w:r>
                </w:p>
              </w:tc>
            </w:tr>
            <w:tr w:rsidR="008404B5" w:rsidRPr="008404B5" w:rsidTr="003C6965">
              <w:tc>
                <w:tcPr>
                  <w:tcW w:w="1591" w:type="dxa"/>
                  <w:shd w:val="clear" w:color="auto" w:fill="E5E5E5"/>
                  <w:tcMar>
                    <w:top w:w="0" w:type="dxa"/>
                    <w:left w:w="107" w:type="dxa"/>
                    <w:bottom w:w="0" w:type="dxa"/>
                    <w:right w:w="107" w:type="dxa"/>
                  </w:tcMar>
                  <w:hideMark/>
                </w:tcPr>
                <w:p w:rsidR="008404B5" w:rsidRPr="008404B5" w:rsidRDefault="008404B5" w:rsidP="003C6965">
                  <w:pPr>
                    <w:rPr>
                      <w:rFonts w:ascii="Arial" w:hAnsi="Arial" w:cs="Arial"/>
                      <w:sz w:val="20"/>
                    </w:rPr>
                  </w:pPr>
                  <w:r w:rsidRPr="008404B5">
                    <w:rPr>
                      <w:rFonts w:ascii="Arial" w:hAnsi="Arial" w:cs="Arial"/>
                      <w:bCs/>
                      <w:sz w:val="20"/>
                    </w:rPr>
                    <w:t xml:space="preserve">Community and Cultural </w:t>
                  </w:r>
                </w:p>
              </w:tc>
              <w:tc>
                <w:tcPr>
                  <w:tcW w:w="1418" w:type="dxa"/>
                  <w:tcMar>
                    <w:top w:w="0" w:type="dxa"/>
                    <w:left w:w="107" w:type="dxa"/>
                    <w:bottom w:w="0" w:type="dxa"/>
                    <w:right w:w="107" w:type="dxa"/>
                  </w:tcMar>
                  <w:hideMark/>
                </w:tcPr>
                <w:p w:rsidR="008404B5" w:rsidRPr="008404B5" w:rsidRDefault="008404B5" w:rsidP="003C6965">
                  <w:pPr>
                    <w:rPr>
                      <w:rFonts w:ascii="Arial" w:hAnsi="Arial" w:cs="Arial"/>
                      <w:sz w:val="20"/>
                    </w:rPr>
                  </w:pPr>
                  <w:r w:rsidRPr="008404B5">
                    <w:rPr>
                      <w:rFonts w:ascii="Arial" w:hAnsi="Arial" w:cs="Arial"/>
                      <w:bCs/>
                      <w:sz w:val="20"/>
                    </w:rPr>
                    <w:t>@ $</w:t>
                  </w:r>
                  <w:r w:rsidRPr="008404B5">
                    <w:rPr>
                      <w:rFonts w:ascii="Arial" w:hAnsi="Arial" w:cs="Arial"/>
                      <w:sz w:val="20"/>
                    </w:rPr>
                    <w:t>518.11 x 4 - 1 bedroom dwelling</w:t>
                  </w:r>
                  <w:r w:rsidRPr="008404B5">
                    <w:rPr>
                      <w:rFonts w:ascii="Arial" w:hAnsi="Arial" w:cs="Arial"/>
                      <w:bCs/>
                      <w:sz w:val="20"/>
                    </w:rPr>
                    <w:t xml:space="preserve"> </w:t>
                  </w:r>
                </w:p>
              </w:tc>
              <w:tc>
                <w:tcPr>
                  <w:tcW w:w="1134" w:type="dxa"/>
                  <w:tcMar>
                    <w:top w:w="0" w:type="dxa"/>
                    <w:left w:w="107" w:type="dxa"/>
                    <w:bottom w:w="0" w:type="dxa"/>
                    <w:right w:w="107" w:type="dxa"/>
                  </w:tcMar>
                  <w:hideMark/>
                </w:tcPr>
                <w:p w:rsidR="008404B5" w:rsidRPr="008404B5" w:rsidRDefault="008404B5" w:rsidP="003C6965">
                  <w:pPr>
                    <w:jc w:val="right"/>
                    <w:rPr>
                      <w:rFonts w:ascii="Arial" w:hAnsi="Arial" w:cs="Arial"/>
                      <w:sz w:val="20"/>
                    </w:rPr>
                  </w:pPr>
                  <w:r w:rsidRPr="008404B5">
                    <w:rPr>
                      <w:rFonts w:ascii="Arial" w:hAnsi="Arial" w:cs="Arial"/>
                      <w:bCs/>
                      <w:sz w:val="20"/>
                    </w:rPr>
                    <w:t>2,072.44</w:t>
                  </w:r>
                  <w:r w:rsidRPr="008404B5">
                    <w:rPr>
                      <w:rFonts w:ascii="Arial" w:hAnsi="Arial" w:cs="Arial"/>
                      <w:b/>
                      <w:bCs/>
                      <w:sz w:val="20"/>
                    </w:rPr>
                    <w:t xml:space="preserve"> </w:t>
                  </w:r>
                </w:p>
              </w:tc>
            </w:tr>
            <w:tr w:rsidR="008404B5" w:rsidRPr="008404B5" w:rsidTr="003C6965">
              <w:tc>
                <w:tcPr>
                  <w:tcW w:w="1591" w:type="dxa"/>
                  <w:shd w:val="clear" w:color="auto" w:fill="E5E5E5"/>
                  <w:tcMar>
                    <w:top w:w="0" w:type="dxa"/>
                    <w:left w:w="107" w:type="dxa"/>
                    <w:bottom w:w="0" w:type="dxa"/>
                    <w:right w:w="107" w:type="dxa"/>
                  </w:tcMar>
                  <w:hideMark/>
                </w:tcPr>
                <w:p w:rsidR="008404B5" w:rsidRPr="008404B5" w:rsidRDefault="008404B5" w:rsidP="003C6965">
                  <w:pPr>
                    <w:rPr>
                      <w:rFonts w:ascii="Arial" w:hAnsi="Arial" w:cs="Arial"/>
                      <w:sz w:val="20"/>
                    </w:rPr>
                  </w:pPr>
                  <w:r w:rsidRPr="008404B5">
                    <w:rPr>
                      <w:rFonts w:ascii="Arial" w:hAnsi="Arial" w:cs="Arial"/>
                      <w:sz w:val="20"/>
                    </w:rPr>
                    <w:t xml:space="preserve">Roads and Traffic Management </w:t>
                  </w:r>
                </w:p>
              </w:tc>
              <w:tc>
                <w:tcPr>
                  <w:tcW w:w="1418" w:type="dxa"/>
                  <w:tcMar>
                    <w:top w:w="0" w:type="dxa"/>
                    <w:left w:w="107" w:type="dxa"/>
                    <w:bottom w:w="0" w:type="dxa"/>
                    <w:right w:w="107" w:type="dxa"/>
                  </w:tcMar>
                  <w:hideMark/>
                </w:tcPr>
                <w:p w:rsidR="008404B5" w:rsidRPr="008404B5" w:rsidRDefault="008404B5" w:rsidP="003C6965">
                  <w:pPr>
                    <w:rPr>
                      <w:rFonts w:ascii="Arial" w:hAnsi="Arial" w:cs="Arial"/>
                      <w:sz w:val="20"/>
                    </w:rPr>
                  </w:pPr>
                  <w:r w:rsidRPr="008404B5">
                    <w:rPr>
                      <w:rFonts w:ascii="Arial" w:hAnsi="Arial" w:cs="Arial"/>
                      <w:sz w:val="20"/>
                    </w:rPr>
                    <w:t xml:space="preserve">@ $2,630.89 x 4 - 1 bedroom dwelling </w:t>
                  </w:r>
                </w:p>
              </w:tc>
              <w:tc>
                <w:tcPr>
                  <w:tcW w:w="1134" w:type="dxa"/>
                  <w:tcMar>
                    <w:top w:w="0" w:type="dxa"/>
                    <w:left w:w="107" w:type="dxa"/>
                    <w:bottom w:w="0" w:type="dxa"/>
                    <w:right w:w="107" w:type="dxa"/>
                  </w:tcMar>
                  <w:hideMark/>
                </w:tcPr>
                <w:p w:rsidR="008404B5" w:rsidRPr="008404B5" w:rsidRDefault="008404B5" w:rsidP="003C6965">
                  <w:pPr>
                    <w:jc w:val="right"/>
                    <w:rPr>
                      <w:rFonts w:ascii="Arial" w:hAnsi="Arial" w:cs="Arial"/>
                      <w:sz w:val="20"/>
                    </w:rPr>
                  </w:pPr>
                  <w:r w:rsidRPr="008404B5">
                    <w:rPr>
                      <w:rFonts w:ascii="Arial" w:hAnsi="Arial" w:cs="Arial"/>
                      <w:sz w:val="20"/>
                    </w:rPr>
                    <w:t xml:space="preserve">10,523.56 </w:t>
                  </w:r>
                </w:p>
              </w:tc>
            </w:tr>
            <w:tr w:rsidR="008404B5" w:rsidRPr="008404B5" w:rsidTr="003C6965">
              <w:tc>
                <w:tcPr>
                  <w:tcW w:w="1591" w:type="dxa"/>
                  <w:shd w:val="clear" w:color="auto" w:fill="E5E5E5"/>
                  <w:tcMar>
                    <w:top w:w="0" w:type="dxa"/>
                    <w:left w:w="107" w:type="dxa"/>
                    <w:bottom w:w="0" w:type="dxa"/>
                    <w:right w:w="107" w:type="dxa"/>
                  </w:tcMar>
                  <w:hideMark/>
                </w:tcPr>
                <w:p w:rsidR="008404B5" w:rsidRPr="008404B5" w:rsidRDefault="008404B5" w:rsidP="003C6965">
                  <w:pPr>
                    <w:rPr>
                      <w:rFonts w:ascii="Arial" w:hAnsi="Arial" w:cs="Arial"/>
                      <w:sz w:val="20"/>
                    </w:rPr>
                  </w:pPr>
                  <w:r w:rsidRPr="008404B5">
                    <w:rPr>
                      <w:rFonts w:ascii="Arial" w:hAnsi="Arial" w:cs="Arial"/>
                      <w:sz w:val="20"/>
                    </w:rPr>
                    <w:t xml:space="preserve">Stormwater Drainage </w:t>
                  </w:r>
                </w:p>
              </w:tc>
              <w:tc>
                <w:tcPr>
                  <w:tcW w:w="1418" w:type="dxa"/>
                  <w:tcMar>
                    <w:top w:w="0" w:type="dxa"/>
                    <w:left w:w="107" w:type="dxa"/>
                    <w:bottom w:w="0" w:type="dxa"/>
                    <w:right w:w="107" w:type="dxa"/>
                  </w:tcMar>
                  <w:hideMark/>
                </w:tcPr>
                <w:p w:rsidR="008404B5" w:rsidRPr="008404B5" w:rsidRDefault="008404B5" w:rsidP="003C6965">
                  <w:pPr>
                    <w:jc w:val="center"/>
                    <w:rPr>
                      <w:rFonts w:ascii="Arial" w:hAnsi="Arial" w:cs="Arial"/>
                      <w:sz w:val="20"/>
                    </w:rPr>
                  </w:pPr>
                  <w:r w:rsidRPr="008404B5">
                    <w:rPr>
                      <w:rFonts w:ascii="Arial" w:hAnsi="Arial" w:cs="Arial"/>
                      <w:sz w:val="20"/>
                    </w:rPr>
                    <w:t xml:space="preserve">-- </w:t>
                  </w:r>
                </w:p>
              </w:tc>
              <w:tc>
                <w:tcPr>
                  <w:tcW w:w="1134" w:type="dxa"/>
                  <w:tcMar>
                    <w:top w:w="0" w:type="dxa"/>
                    <w:left w:w="107" w:type="dxa"/>
                    <w:bottom w:w="0" w:type="dxa"/>
                    <w:right w:w="107" w:type="dxa"/>
                  </w:tcMar>
                  <w:hideMark/>
                </w:tcPr>
                <w:p w:rsidR="008404B5" w:rsidRPr="008404B5" w:rsidRDefault="008404B5" w:rsidP="003C6965">
                  <w:pPr>
                    <w:jc w:val="center"/>
                    <w:rPr>
                      <w:rFonts w:ascii="Arial" w:hAnsi="Arial" w:cs="Arial"/>
                      <w:sz w:val="20"/>
                    </w:rPr>
                  </w:pPr>
                  <w:r w:rsidRPr="008404B5">
                    <w:rPr>
                      <w:rFonts w:ascii="Arial" w:hAnsi="Arial" w:cs="Arial"/>
                      <w:sz w:val="20"/>
                    </w:rPr>
                    <w:t xml:space="preserve">-- </w:t>
                  </w:r>
                </w:p>
              </w:tc>
            </w:tr>
            <w:tr w:rsidR="008404B5" w:rsidRPr="008404B5" w:rsidTr="003C6965">
              <w:tc>
                <w:tcPr>
                  <w:tcW w:w="1591" w:type="dxa"/>
                  <w:shd w:val="clear" w:color="auto" w:fill="E5E5E5"/>
                  <w:tcMar>
                    <w:top w:w="0" w:type="dxa"/>
                    <w:left w:w="107" w:type="dxa"/>
                    <w:bottom w:w="0" w:type="dxa"/>
                    <w:right w:w="107" w:type="dxa"/>
                  </w:tcMar>
                  <w:hideMark/>
                </w:tcPr>
                <w:p w:rsidR="008404B5" w:rsidRPr="008404B5" w:rsidRDefault="008404B5" w:rsidP="003C6965">
                  <w:pPr>
                    <w:rPr>
                      <w:rFonts w:ascii="Arial" w:hAnsi="Arial" w:cs="Arial"/>
                      <w:sz w:val="20"/>
                    </w:rPr>
                  </w:pPr>
                  <w:r w:rsidRPr="008404B5">
                    <w:rPr>
                      <w:rFonts w:ascii="Arial" w:hAnsi="Arial" w:cs="Arial"/>
                      <w:sz w:val="20"/>
                    </w:rPr>
                    <w:t xml:space="preserve">Plan Preparation &amp; Administration </w:t>
                  </w:r>
                </w:p>
              </w:tc>
              <w:tc>
                <w:tcPr>
                  <w:tcW w:w="1418" w:type="dxa"/>
                  <w:tcMar>
                    <w:top w:w="0" w:type="dxa"/>
                    <w:left w:w="107" w:type="dxa"/>
                    <w:bottom w:w="0" w:type="dxa"/>
                    <w:right w:w="107" w:type="dxa"/>
                  </w:tcMar>
                  <w:hideMark/>
                </w:tcPr>
                <w:p w:rsidR="008404B5" w:rsidRPr="008404B5" w:rsidRDefault="008404B5" w:rsidP="003C6965">
                  <w:pPr>
                    <w:rPr>
                      <w:rFonts w:ascii="Arial" w:hAnsi="Arial" w:cs="Arial"/>
                      <w:sz w:val="20"/>
                    </w:rPr>
                  </w:pPr>
                  <w:r w:rsidRPr="008404B5">
                    <w:rPr>
                      <w:rFonts w:ascii="Arial" w:hAnsi="Arial" w:cs="Arial"/>
                      <w:sz w:val="20"/>
                    </w:rPr>
                    <w:t xml:space="preserve">@ $139.90 x 4 - 1 bedroom dwelling </w:t>
                  </w:r>
                </w:p>
              </w:tc>
              <w:tc>
                <w:tcPr>
                  <w:tcW w:w="1134" w:type="dxa"/>
                  <w:tcMar>
                    <w:top w:w="0" w:type="dxa"/>
                    <w:left w:w="107" w:type="dxa"/>
                    <w:bottom w:w="0" w:type="dxa"/>
                    <w:right w:w="107" w:type="dxa"/>
                  </w:tcMar>
                  <w:hideMark/>
                </w:tcPr>
                <w:p w:rsidR="008404B5" w:rsidRPr="008404B5" w:rsidRDefault="008404B5" w:rsidP="003C6965">
                  <w:pPr>
                    <w:jc w:val="right"/>
                    <w:rPr>
                      <w:rFonts w:ascii="Arial" w:hAnsi="Arial" w:cs="Arial"/>
                      <w:sz w:val="20"/>
                    </w:rPr>
                  </w:pPr>
                  <w:r w:rsidRPr="008404B5">
                    <w:rPr>
                      <w:rFonts w:ascii="Arial" w:hAnsi="Arial" w:cs="Arial"/>
                      <w:sz w:val="20"/>
                    </w:rPr>
                    <w:t xml:space="preserve">559.60 </w:t>
                  </w:r>
                </w:p>
              </w:tc>
            </w:tr>
            <w:tr w:rsidR="008404B5" w:rsidRPr="008404B5" w:rsidTr="003C6965">
              <w:tc>
                <w:tcPr>
                  <w:tcW w:w="4143" w:type="dxa"/>
                  <w:gridSpan w:val="3"/>
                  <w:shd w:val="clear" w:color="auto" w:fill="E5E5E5"/>
                  <w:tcMar>
                    <w:top w:w="0" w:type="dxa"/>
                    <w:left w:w="107" w:type="dxa"/>
                    <w:bottom w:w="0" w:type="dxa"/>
                    <w:right w:w="107" w:type="dxa"/>
                  </w:tcMar>
                </w:tcPr>
                <w:p w:rsidR="008404B5" w:rsidRPr="008404B5" w:rsidRDefault="008404B5" w:rsidP="003C6965">
                  <w:pPr>
                    <w:rPr>
                      <w:rFonts w:ascii="Arial" w:hAnsi="Arial" w:cs="Arial"/>
                      <w:sz w:val="20"/>
                    </w:rPr>
                  </w:pPr>
                  <w:r w:rsidRPr="008404B5">
                    <w:rPr>
                      <w:rFonts w:ascii="Arial" w:hAnsi="Arial" w:cs="Arial"/>
                      <w:b/>
                      <w:bCs/>
                      <w:sz w:val="20"/>
                    </w:rPr>
                    <w:t>2 Bedroom Dwelling</w:t>
                  </w:r>
                </w:p>
              </w:tc>
            </w:tr>
            <w:tr w:rsidR="008404B5" w:rsidRPr="008404B5" w:rsidTr="003C6965">
              <w:tc>
                <w:tcPr>
                  <w:tcW w:w="1591" w:type="dxa"/>
                  <w:shd w:val="clear" w:color="auto" w:fill="E5E5E5"/>
                  <w:tcMar>
                    <w:top w:w="0" w:type="dxa"/>
                    <w:left w:w="107" w:type="dxa"/>
                    <w:bottom w:w="0" w:type="dxa"/>
                    <w:right w:w="107" w:type="dxa"/>
                  </w:tcMar>
                  <w:hideMark/>
                </w:tcPr>
                <w:p w:rsidR="008404B5" w:rsidRPr="008404B5" w:rsidRDefault="008404B5" w:rsidP="003C6965">
                  <w:pPr>
                    <w:rPr>
                      <w:rFonts w:ascii="Arial" w:hAnsi="Arial" w:cs="Arial"/>
                      <w:sz w:val="20"/>
                    </w:rPr>
                  </w:pPr>
                  <w:r w:rsidRPr="008404B5">
                    <w:rPr>
                      <w:rFonts w:ascii="Arial" w:hAnsi="Arial" w:cs="Arial"/>
                      <w:sz w:val="20"/>
                    </w:rPr>
                    <w:t xml:space="preserve">Open Space and Recreation </w:t>
                  </w:r>
                </w:p>
              </w:tc>
              <w:tc>
                <w:tcPr>
                  <w:tcW w:w="1418" w:type="dxa"/>
                  <w:tcMar>
                    <w:top w:w="0" w:type="dxa"/>
                    <w:left w:w="107" w:type="dxa"/>
                    <w:bottom w:w="0" w:type="dxa"/>
                    <w:right w:w="107" w:type="dxa"/>
                  </w:tcMar>
                  <w:hideMark/>
                </w:tcPr>
                <w:p w:rsidR="008404B5" w:rsidRPr="008404B5" w:rsidRDefault="008404B5" w:rsidP="003C6965">
                  <w:pPr>
                    <w:rPr>
                      <w:rFonts w:ascii="Arial" w:hAnsi="Arial" w:cs="Arial"/>
                      <w:sz w:val="20"/>
                    </w:rPr>
                  </w:pPr>
                  <w:r w:rsidRPr="008404B5">
                    <w:rPr>
                      <w:rFonts w:ascii="Arial" w:hAnsi="Arial" w:cs="Arial"/>
                      <w:sz w:val="20"/>
                    </w:rPr>
                    <w:t xml:space="preserve">@ $2,418.05 x 2 - 2 bedroom dwelling </w:t>
                  </w:r>
                </w:p>
              </w:tc>
              <w:tc>
                <w:tcPr>
                  <w:tcW w:w="1134" w:type="dxa"/>
                  <w:tcMar>
                    <w:top w:w="0" w:type="dxa"/>
                    <w:left w:w="107" w:type="dxa"/>
                    <w:bottom w:w="0" w:type="dxa"/>
                    <w:right w:w="107" w:type="dxa"/>
                  </w:tcMar>
                  <w:hideMark/>
                </w:tcPr>
                <w:p w:rsidR="008404B5" w:rsidRPr="008404B5" w:rsidRDefault="008404B5" w:rsidP="003C6965">
                  <w:pPr>
                    <w:jc w:val="right"/>
                    <w:rPr>
                      <w:rFonts w:ascii="Arial" w:hAnsi="Arial" w:cs="Arial"/>
                      <w:sz w:val="20"/>
                    </w:rPr>
                  </w:pPr>
                  <w:r w:rsidRPr="008404B5">
                    <w:rPr>
                      <w:rFonts w:ascii="Arial" w:hAnsi="Arial" w:cs="Arial"/>
                      <w:sz w:val="20"/>
                    </w:rPr>
                    <w:t xml:space="preserve">4,836.10 </w:t>
                  </w:r>
                </w:p>
              </w:tc>
            </w:tr>
            <w:tr w:rsidR="008404B5" w:rsidRPr="008404B5" w:rsidTr="003C6965">
              <w:tc>
                <w:tcPr>
                  <w:tcW w:w="1591" w:type="dxa"/>
                  <w:shd w:val="clear" w:color="auto" w:fill="E5E5E5"/>
                  <w:tcMar>
                    <w:top w:w="0" w:type="dxa"/>
                    <w:left w:w="107" w:type="dxa"/>
                    <w:bottom w:w="0" w:type="dxa"/>
                    <w:right w:w="107" w:type="dxa"/>
                  </w:tcMar>
                  <w:hideMark/>
                </w:tcPr>
                <w:p w:rsidR="008404B5" w:rsidRPr="008404B5" w:rsidRDefault="008404B5" w:rsidP="003C6965">
                  <w:pPr>
                    <w:rPr>
                      <w:rFonts w:ascii="Arial" w:hAnsi="Arial" w:cs="Arial"/>
                      <w:sz w:val="20"/>
                    </w:rPr>
                  </w:pPr>
                  <w:r w:rsidRPr="008404B5">
                    <w:rPr>
                      <w:rFonts w:ascii="Arial" w:hAnsi="Arial" w:cs="Arial"/>
                      <w:bCs/>
                      <w:sz w:val="20"/>
                    </w:rPr>
                    <w:t>Community and Cultural</w:t>
                  </w:r>
                  <w:r w:rsidRPr="008404B5">
                    <w:rPr>
                      <w:rFonts w:ascii="Arial" w:hAnsi="Arial" w:cs="Arial"/>
                      <w:sz w:val="20"/>
                    </w:rPr>
                    <w:t xml:space="preserve"> </w:t>
                  </w:r>
                </w:p>
              </w:tc>
              <w:tc>
                <w:tcPr>
                  <w:tcW w:w="1418" w:type="dxa"/>
                  <w:tcMar>
                    <w:top w:w="0" w:type="dxa"/>
                    <w:left w:w="107" w:type="dxa"/>
                    <w:bottom w:w="0" w:type="dxa"/>
                    <w:right w:w="107" w:type="dxa"/>
                  </w:tcMar>
                  <w:hideMark/>
                </w:tcPr>
                <w:p w:rsidR="008404B5" w:rsidRPr="008404B5" w:rsidRDefault="008404B5" w:rsidP="003C6965">
                  <w:pPr>
                    <w:rPr>
                      <w:rFonts w:ascii="Arial" w:hAnsi="Arial" w:cs="Arial"/>
                      <w:sz w:val="20"/>
                    </w:rPr>
                  </w:pPr>
                  <w:r w:rsidRPr="008404B5">
                    <w:rPr>
                      <w:rFonts w:ascii="Arial" w:hAnsi="Arial" w:cs="Arial"/>
                      <w:sz w:val="20"/>
                    </w:rPr>
                    <w:t xml:space="preserve">@ $701.24 x 2 - 2 bedroom dwelling </w:t>
                  </w:r>
                </w:p>
              </w:tc>
              <w:tc>
                <w:tcPr>
                  <w:tcW w:w="1134" w:type="dxa"/>
                  <w:tcMar>
                    <w:top w:w="0" w:type="dxa"/>
                    <w:left w:w="107" w:type="dxa"/>
                    <w:bottom w:w="0" w:type="dxa"/>
                    <w:right w:w="107" w:type="dxa"/>
                  </w:tcMar>
                  <w:hideMark/>
                </w:tcPr>
                <w:p w:rsidR="008404B5" w:rsidRPr="008404B5" w:rsidRDefault="008404B5" w:rsidP="003C6965">
                  <w:pPr>
                    <w:jc w:val="right"/>
                    <w:rPr>
                      <w:rFonts w:ascii="Arial" w:hAnsi="Arial" w:cs="Arial"/>
                      <w:sz w:val="20"/>
                    </w:rPr>
                  </w:pPr>
                  <w:r w:rsidRPr="008404B5">
                    <w:rPr>
                      <w:rFonts w:ascii="Arial" w:hAnsi="Arial" w:cs="Arial"/>
                      <w:sz w:val="20"/>
                    </w:rPr>
                    <w:t xml:space="preserve">1,402.48 </w:t>
                  </w:r>
                </w:p>
              </w:tc>
            </w:tr>
            <w:tr w:rsidR="008404B5" w:rsidRPr="008404B5" w:rsidTr="003C6965">
              <w:tc>
                <w:tcPr>
                  <w:tcW w:w="1591" w:type="dxa"/>
                  <w:shd w:val="clear" w:color="auto" w:fill="E5E5E5"/>
                  <w:tcMar>
                    <w:top w:w="0" w:type="dxa"/>
                    <w:left w:w="107" w:type="dxa"/>
                    <w:bottom w:w="0" w:type="dxa"/>
                    <w:right w:w="107" w:type="dxa"/>
                  </w:tcMar>
                  <w:hideMark/>
                </w:tcPr>
                <w:p w:rsidR="008404B5" w:rsidRPr="008404B5" w:rsidRDefault="008404B5" w:rsidP="003C6965">
                  <w:pPr>
                    <w:rPr>
                      <w:rFonts w:ascii="Arial" w:hAnsi="Arial" w:cs="Arial"/>
                      <w:sz w:val="20"/>
                    </w:rPr>
                  </w:pPr>
                  <w:r w:rsidRPr="008404B5">
                    <w:rPr>
                      <w:rFonts w:ascii="Arial" w:hAnsi="Arial" w:cs="Arial"/>
                      <w:sz w:val="20"/>
                    </w:rPr>
                    <w:t xml:space="preserve">Roads and Traffic Management </w:t>
                  </w:r>
                </w:p>
              </w:tc>
              <w:tc>
                <w:tcPr>
                  <w:tcW w:w="1418" w:type="dxa"/>
                  <w:tcMar>
                    <w:top w:w="0" w:type="dxa"/>
                    <w:left w:w="107" w:type="dxa"/>
                    <w:bottom w:w="0" w:type="dxa"/>
                    <w:right w:w="107" w:type="dxa"/>
                  </w:tcMar>
                  <w:hideMark/>
                </w:tcPr>
                <w:p w:rsidR="008404B5" w:rsidRPr="008404B5" w:rsidRDefault="008404B5" w:rsidP="003C6965">
                  <w:pPr>
                    <w:rPr>
                      <w:rFonts w:ascii="Arial" w:hAnsi="Arial" w:cs="Arial"/>
                      <w:sz w:val="20"/>
                    </w:rPr>
                  </w:pPr>
                  <w:r w:rsidRPr="008404B5">
                    <w:rPr>
                      <w:rFonts w:ascii="Arial" w:hAnsi="Arial" w:cs="Arial"/>
                      <w:sz w:val="20"/>
                    </w:rPr>
                    <w:t xml:space="preserve">@ $3,288.66 x 2 - 2 bedroom dwelling </w:t>
                  </w:r>
                </w:p>
              </w:tc>
              <w:tc>
                <w:tcPr>
                  <w:tcW w:w="1134" w:type="dxa"/>
                  <w:tcMar>
                    <w:top w:w="0" w:type="dxa"/>
                    <w:left w:w="107" w:type="dxa"/>
                    <w:bottom w:w="0" w:type="dxa"/>
                    <w:right w:w="107" w:type="dxa"/>
                  </w:tcMar>
                  <w:hideMark/>
                </w:tcPr>
                <w:p w:rsidR="008404B5" w:rsidRPr="008404B5" w:rsidRDefault="008404B5" w:rsidP="003C6965">
                  <w:pPr>
                    <w:jc w:val="right"/>
                    <w:rPr>
                      <w:rFonts w:ascii="Arial" w:hAnsi="Arial" w:cs="Arial"/>
                      <w:sz w:val="20"/>
                    </w:rPr>
                  </w:pPr>
                  <w:r w:rsidRPr="008404B5">
                    <w:rPr>
                      <w:rFonts w:ascii="Arial" w:hAnsi="Arial" w:cs="Arial"/>
                      <w:sz w:val="20"/>
                    </w:rPr>
                    <w:t xml:space="preserve">6,577.32 </w:t>
                  </w:r>
                </w:p>
              </w:tc>
            </w:tr>
            <w:tr w:rsidR="008404B5" w:rsidRPr="008404B5" w:rsidTr="003C6965">
              <w:tc>
                <w:tcPr>
                  <w:tcW w:w="1591" w:type="dxa"/>
                  <w:shd w:val="clear" w:color="auto" w:fill="E5E5E5"/>
                  <w:tcMar>
                    <w:top w:w="0" w:type="dxa"/>
                    <w:left w:w="107" w:type="dxa"/>
                    <w:bottom w:w="0" w:type="dxa"/>
                    <w:right w:w="107" w:type="dxa"/>
                  </w:tcMar>
                  <w:hideMark/>
                </w:tcPr>
                <w:p w:rsidR="008404B5" w:rsidRPr="008404B5" w:rsidRDefault="008404B5" w:rsidP="003C6965">
                  <w:pPr>
                    <w:rPr>
                      <w:rFonts w:ascii="Arial" w:hAnsi="Arial" w:cs="Arial"/>
                      <w:sz w:val="20"/>
                    </w:rPr>
                  </w:pPr>
                  <w:r w:rsidRPr="008404B5">
                    <w:rPr>
                      <w:rFonts w:ascii="Arial" w:hAnsi="Arial" w:cs="Arial"/>
                      <w:sz w:val="20"/>
                    </w:rPr>
                    <w:t xml:space="preserve">Stormwater Drainage </w:t>
                  </w:r>
                </w:p>
              </w:tc>
              <w:tc>
                <w:tcPr>
                  <w:tcW w:w="1418" w:type="dxa"/>
                  <w:tcMar>
                    <w:top w:w="0" w:type="dxa"/>
                    <w:left w:w="107" w:type="dxa"/>
                    <w:bottom w:w="0" w:type="dxa"/>
                    <w:right w:w="107" w:type="dxa"/>
                  </w:tcMar>
                  <w:hideMark/>
                </w:tcPr>
                <w:p w:rsidR="008404B5" w:rsidRPr="008404B5" w:rsidRDefault="008404B5" w:rsidP="003C6965">
                  <w:pPr>
                    <w:rPr>
                      <w:rFonts w:ascii="Arial" w:hAnsi="Arial" w:cs="Arial"/>
                      <w:sz w:val="20"/>
                    </w:rPr>
                  </w:pPr>
                  <w:r w:rsidRPr="008404B5">
                    <w:rPr>
                      <w:rFonts w:ascii="Arial" w:hAnsi="Arial" w:cs="Arial"/>
                      <w:sz w:val="20"/>
                    </w:rPr>
                    <w:t xml:space="preserve">-- </w:t>
                  </w:r>
                </w:p>
              </w:tc>
              <w:tc>
                <w:tcPr>
                  <w:tcW w:w="1134" w:type="dxa"/>
                  <w:tcMar>
                    <w:top w:w="0" w:type="dxa"/>
                    <w:left w:w="107" w:type="dxa"/>
                    <w:bottom w:w="0" w:type="dxa"/>
                    <w:right w:w="107" w:type="dxa"/>
                  </w:tcMar>
                  <w:hideMark/>
                </w:tcPr>
                <w:p w:rsidR="008404B5" w:rsidRPr="008404B5" w:rsidRDefault="008404B5" w:rsidP="003C6965">
                  <w:pPr>
                    <w:rPr>
                      <w:rFonts w:ascii="Arial" w:hAnsi="Arial" w:cs="Arial"/>
                      <w:sz w:val="20"/>
                    </w:rPr>
                  </w:pPr>
                </w:p>
              </w:tc>
            </w:tr>
            <w:tr w:rsidR="008404B5" w:rsidRPr="008404B5" w:rsidTr="003C6965">
              <w:tc>
                <w:tcPr>
                  <w:tcW w:w="1591" w:type="dxa"/>
                  <w:shd w:val="clear" w:color="auto" w:fill="E5E5E5"/>
                  <w:tcMar>
                    <w:top w:w="0" w:type="dxa"/>
                    <w:left w:w="107" w:type="dxa"/>
                    <w:bottom w:w="0" w:type="dxa"/>
                    <w:right w:w="107" w:type="dxa"/>
                  </w:tcMar>
                  <w:hideMark/>
                </w:tcPr>
                <w:p w:rsidR="008404B5" w:rsidRPr="008404B5" w:rsidRDefault="008404B5" w:rsidP="003C6965">
                  <w:pPr>
                    <w:rPr>
                      <w:rFonts w:ascii="Arial" w:eastAsia="Calibri" w:hAnsi="Arial" w:cs="Arial"/>
                      <w:sz w:val="20"/>
                    </w:rPr>
                  </w:pPr>
                  <w:r w:rsidRPr="008404B5">
                    <w:rPr>
                      <w:rFonts w:ascii="Arial" w:hAnsi="Arial" w:cs="Arial"/>
                      <w:sz w:val="20"/>
                    </w:rPr>
                    <w:t xml:space="preserve">Plan Preparation &amp; Administration </w:t>
                  </w:r>
                </w:p>
              </w:tc>
              <w:tc>
                <w:tcPr>
                  <w:tcW w:w="1418" w:type="dxa"/>
                  <w:tcMar>
                    <w:top w:w="0" w:type="dxa"/>
                    <w:left w:w="107" w:type="dxa"/>
                    <w:bottom w:w="0" w:type="dxa"/>
                    <w:right w:w="107" w:type="dxa"/>
                  </w:tcMar>
                  <w:hideMark/>
                </w:tcPr>
                <w:p w:rsidR="008404B5" w:rsidRPr="008404B5" w:rsidRDefault="008404B5" w:rsidP="003C6965">
                  <w:pPr>
                    <w:rPr>
                      <w:rFonts w:ascii="Arial" w:hAnsi="Arial" w:cs="Arial"/>
                      <w:sz w:val="20"/>
                    </w:rPr>
                  </w:pPr>
                  <w:r w:rsidRPr="008404B5">
                    <w:rPr>
                      <w:rFonts w:ascii="Arial" w:hAnsi="Arial" w:cs="Arial"/>
                      <w:sz w:val="20"/>
                    </w:rPr>
                    <w:t xml:space="preserve">@ $189.33x 2 - 2 bedroom dwelling </w:t>
                  </w:r>
                </w:p>
              </w:tc>
              <w:tc>
                <w:tcPr>
                  <w:tcW w:w="1134" w:type="dxa"/>
                  <w:tcMar>
                    <w:top w:w="0" w:type="dxa"/>
                    <w:left w:w="107" w:type="dxa"/>
                    <w:bottom w:w="0" w:type="dxa"/>
                    <w:right w:w="107" w:type="dxa"/>
                  </w:tcMar>
                  <w:hideMark/>
                </w:tcPr>
                <w:p w:rsidR="008404B5" w:rsidRPr="008404B5" w:rsidRDefault="008404B5" w:rsidP="003C6965">
                  <w:pPr>
                    <w:jc w:val="right"/>
                    <w:rPr>
                      <w:rFonts w:ascii="Arial" w:hAnsi="Arial" w:cs="Arial"/>
                      <w:sz w:val="20"/>
                    </w:rPr>
                  </w:pPr>
                  <w:r w:rsidRPr="008404B5">
                    <w:rPr>
                      <w:rFonts w:ascii="Arial" w:hAnsi="Arial" w:cs="Arial"/>
                      <w:sz w:val="20"/>
                    </w:rPr>
                    <w:t xml:space="preserve">378.66 </w:t>
                  </w:r>
                </w:p>
              </w:tc>
            </w:tr>
            <w:tr w:rsidR="008404B5" w:rsidRPr="008404B5" w:rsidTr="003C6965">
              <w:tc>
                <w:tcPr>
                  <w:tcW w:w="4143" w:type="dxa"/>
                  <w:gridSpan w:val="3"/>
                  <w:shd w:val="clear" w:color="auto" w:fill="E5E5E5"/>
                  <w:tcMar>
                    <w:top w:w="0" w:type="dxa"/>
                    <w:left w:w="107" w:type="dxa"/>
                    <w:bottom w:w="0" w:type="dxa"/>
                    <w:right w:w="107" w:type="dxa"/>
                  </w:tcMar>
                </w:tcPr>
                <w:p w:rsidR="008404B5" w:rsidRPr="008404B5" w:rsidRDefault="008404B5" w:rsidP="003C6965">
                  <w:pPr>
                    <w:rPr>
                      <w:rFonts w:ascii="Arial" w:hAnsi="Arial" w:cs="Arial"/>
                      <w:color w:val="000000"/>
                      <w:sz w:val="20"/>
                      <w:bdr w:val="none" w:sz="0" w:space="0" w:color="auto" w:frame="1"/>
                      <w:shd w:val="clear" w:color="auto" w:fill="FAF9F8"/>
                    </w:rPr>
                  </w:pPr>
                  <w:r w:rsidRPr="008404B5">
                    <w:rPr>
                      <w:rFonts w:ascii="Arial" w:hAnsi="Arial" w:cs="Arial"/>
                      <w:color w:val="000000"/>
                      <w:sz w:val="20"/>
                      <w:bdr w:val="none" w:sz="0" w:space="0" w:color="auto" w:frame="1"/>
                      <w:shd w:val="clear" w:color="auto" w:fill="FAF9F8"/>
                    </w:rPr>
                    <w:t>Credits</w:t>
                  </w:r>
                </w:p>
              </w:tc>
            </w:tr>
            <w:tr w:rsidR="008404B5" w:rsidRPr="008404B5" w:rsidTr="003C6965">
              <w:tc>
                <w:tcPr>
                  <w:tcW w:w="1591" w:type="dxa"/>
                  <w:shd w:val="clear" w:color="auto" w:fill="E5E5E5"/>
                  <w:tcMar>
                    <w:top w:w="0" w:type="dxa"/>
                    <w:left w:w="107" w:type="dxa"/>
                    <w:bottom w:w="0" w:type="dxa"/>
                    <w:right w:w="107" w:type="dxa"/>
                  </w:tcMar>
                  <w:hideMark/>
                </w:tcPr>
                <w:p w:rsidR="008404B5" w:rsidRPr="008404B5" w:rsidRDefault="008404B5" w:rsidP="003C6965">
                  <w:pPr>
                    <w:rPr>
                      <w:rFonts w:ascii="Arial" w:hAnsi="Arial" w:cs="Arial"/>
                      <w:sz w:val="20"/>
                    </w:rPr>
                  </w:pPr>
                  <w:r w:rsidRPr="008404B5">
                    <w:rPr>
                      <w:rFonts w:ascii="Arial" w:hAnsi="Arial" w:cs="Arial"/>
                      <w:color w:val="000000"/>
                      <w:sz w:val="20"/>
                    </w:rPr>
                    <w:t>3 bedroom per lot for existing lots</w:t>
                  </w:r>
                  <w:r w:rsidRPr="008404B5">
                    <w:rPr>
                      <w:rFonts w:ascii="Arial" w:hAnsi="Arial" w:cs="Arial"/>
                      <w:sz w:val="20"/>
                    </w:rPr>
                    <w:t xml:space="preserve"> </w:t>
                  </w:r>
                </w:p>
              </w:tc>
              <w:tc>
                <w:tcPr>
                  <w:tcW w:w="1418" w:type="dxa"/>
                  <w:tcMar>
                    <w:top w:w="0" w:type="dxa"/>
                    <w:left w:w="107" w:type="dxa"/>
                    <w:bottom w:w="0" w:type="dxa"/>
                    <w:right w:w="107" w:type="dxa"/>
                  </w:tcMar>
                  <w:hideMark/>
                </w:tcPr>
                <w:p w:rsidR="008404B5" w:rsidRPr="008404B5" w:rsidRDefault="008404B5" w:rsidP="003C6965">
                  <w:pPr>
                    <w:rPr>
                      <w:rFonts w:ascii="Arial" w:hAnsi="Arial" w:cs="Arial"/>
                      <w:sz w:val="20"/>
                    </w:rPr>
                  </w:pPr>
                  <w:r w:rsidRPr="008404B5">
                    <w:rPr>
                      <w:rFonts w:ascii="Arial" w:hAnsi="Arial" w:cs="Arial"/>
                      <w:color w:val="000000"/>
                      <w:sz w:val="20"/>
                      <w:bdr w:val="none" w:sz="0" w:space="0" w:color="auto" w:frame="1"/>
                      <w:shd w:val="clear" w:color="auto" w:fill="FAF9F8"/>
                    </w:rPr>
                    <w:t>@</w:t>
                  </w:r>
                  <w:r w:rsidRPr="008404B5">
                    <w:rPr>
                      <w:rFonts w:ascii="Arial" w:hAnsi="Arial" w:cs="Arial"/>
                      <w:sz w:val="20"/>
                    </w:rPr>
                    <w:t xml:space="preserve">11,386.12 x 2 lots (equivalent to 3 bedroom dwelling rate) </w:t>
                  </w:r>
                </w:p>
              </w:tc>
              <w:tc>
                <w:tcPr>
                  <w:tcW w:w="1134" w:type="dxa"/>
                  <w:tcMar>
                    <w:top w:w="0" w:type="dxa"/>
                    <w:left w:w="107" w:type="dxa"/>
                    <w:bottom w:w="0" w:type="dxa"/>
                    <w:right w:w="107" w:type="dxa"/>
                  </w:tcMar>
                  <w:hideMark/>
                </w:tcPr>
                <w:p w:rsidR="008404B5" w:rsidRPr="008404B5" w:rsidRDefault="008404B5" w:rsidP="003C6965">
                  <w:pPr>
                    <w:jc w:val="right"/>
                    <w:rPr>
                      <w:rFonts w:ascii="Arial" w:hAnsi="Arial" w:cs="Arial"/>
                      <w:sz w:val="20"/>
                    </w:rPr>
                  </w:pPr>
                  <w:r w:rsidRPr="008404B5">
                    <w:rPr>
                      <w:rFonts w:ascii="Arial" w:hAnsi="Arial" w:cs="Arial"/>
                      <w:color w:val="000000"/>
                      <w:sz w:val="20"/>
                      <w:bdr w:val="none" w:sz="0" w:space="0" w:color="auto" w:frame="1"/>
                      <w:shd w:val="clear" w:color="auto" w:fill="FAF9F8"/>
                    </w:rPr>
                    <w:t>22,772.24</w:t>
                  </w:r>
                  <w:r w:rsidRPr="008404B5">
                    <w:rPr>
                      <w:rFonts w:ascii="Arial" w:hAnsi="Arial" w:cs="Arial"/>
                      <w:sz w:val="20"/>
                    </w:rPr>
                    <w:t xml:space="preserve"> </w:t>
                  </w:r>
                </w:p>
              </w:tc>
            </w:tr>
            <w:tr w:rsidR="008404B5" w:rsidRPr="008404B5" w:rsidTr="003C6965">
              <w:trPr>
                <w:trHeight w:val="86"/>
              </w:trPr>
              <w:tc>
                <w:tcPr>
                  <w:tcW w:w="1591" w:type="dxa"/>
                  <w:shd w:val="clear" w:color="auto" w:fill="E5E5E5"/>
                  <w:tcMar>
                    <w:top w:w="0" w:type="dxa"/>
                    <w:left w:w="107" w:type="dxa"/>
                    <w:bottom w:w="0" w:type="dxa"/>
                    <w:right w:w="107" w:type="dxa"/>
                  </w:tcMar>
                  <w:hideMark/>
                </w:tcPr>
                <w:p w:rsidR="008404B5" w:rsidRPr="008404B5" w:rsidRDefault="008404B5" w:rsidP="003C6965">
                  <w:pPr>
                    <w:jc w:val="right"/>
                    <w:rPr>
                      <w:rFonts w:ascii="Arial" w:hAnsi="Arial" w:cs="Arial"/>
                      <w:sz w:val="20"/>
                    </w:rPr>
                  </w:pPr>
                  <w:r w:rsidRPr="008404B5">
                    <w:rPr>
                      <w:rFonts w:ascii="Arial" w:hAnsi="Arial" w:cs="Arial"/>
                      <w:b/>
                      <w:bCs/>
                      <w:sz w:val="20"/>
                    </w:rPr>
                    <w:t xml:space="preserve">TOTAL: </w:t>
                  </w:r>
                </w:p>
              </w:tc>
              <w:tc>
                <w:tcPr>
                  <w:tcW w:w="1418" w:type="dxa"/>
                  <w:tcMar>
                    <w:top w:w="0" w:type="dxa"/>
                    <w:left w:w="107" w:type="dxa"/>
                    <w:bottom w:w="0" w:type="dxa"/>
                    <w:right w:w="107" w:type="dxa"/>
                  </w:tcMar>
                  <w:hideMark/>
                </w:tcPr>
                <w:p w:rsidR="008404B5" w:rsidRPr="008404B5" w:rsidRDefault="008404B5" w:rsidP="003C6965">
                  <w:pPr>
                    <w:rPr>
                      <w:rFonts w:ascii="Arial" w:hAnsi="Arial" w:cs="Arial"/>
                      <w:sz w:val="20"/>
                    </w:rPr>
                  </w:pPr>
                </w:p>
              </w:tc>
              <w:tc>
                <w:tcPr>
                  <w:tcW w:w="1134" w:type="dxa"/>
                  <w:tcMar>
                    <w:top w:w="0" w:type="dxa"/>
                    <w:left w:w="107" w:type="dxa"/>
                    <w:bottom w:w="0" w:type="dxa"/>
                    <w:right w:w="107" w:type="dxa"/>
                  </w:tcMar>
                  <w:hideMark/>
                </w:tcPr>
                <w:p w:rsidR="008404B5" w:rsidRPr="008404B5" w:rsidRDefault="008404B5" w:rsidP="003C6965">
                  <w:pPr>
                    <w:jc w:val="right"/>
                    <w:rPr>
                      <w:rFonts w:ascii="Arial" w:eastAsia="Calibri" w:hAnsi="Arial" w:cs="Arial"/>
                      <w:sz w:val="20"/>
                    </w:rPr>
                  </w:pPr>
                  <w:r w:rsidRPr="008404B5">
                    <w:rPr>
                      <w:rFonts w:ascii="Arial" w:hAnsi="Arial" w:cs="Arial"/>
                      <w:b/>
                      <w:bCs/>
                      <w:sz w:val="20"/>
                    </w:rPr>
                    <w:t xml:space="preserve">$10,724.32 </w:t>
                  </w:r>
                </w:p>
              </w:tc>
            </w:tr>
          </w:tbl>
          <w:p w:rsidR="008404B5" w:rsidRPr="008404B5" w:rsidRDefault="008404B5" w:rsidP="003C6965">
            <w:pPr>
              <w:rPr>
                <w:rFonts w:ascii="Arial" w:eastAsia="Calibri" w:hAnsi="Arial" w:cs="Arial"/>
                <w:color w:val="000000"/>
                <w:sz w:val="20"/>
              </w:rPr>
            </w:pPr>
            <w:r w:rsidRPr="008404B5">
              <w:rPr>
                <w:rFonts w:ascii="Arial" w:hAnsi="Arial" w:cs="Arial"/>
                <w:i/>
                <w:iCs/>
                <w:color w:val="000000"/>
                <w:sz w:val="20"/>
              </w:rPr>
              <w:lastRenderedPageBreak/>
              <w:t xml:space="preserve">Orange Development Contributions Plan 2017 </w:t>
            </w:r>
            <w:r w:rsidRPr="008404B5">
              <w:rPr>
                <w:rFonts w:ascii="Arial" w:hAnsi="Arial" w:cs="Arial"/>
                <w:color w:val="000000"/>
                <w:sz w:val="20"/>
              </w:rPr>
              <w:t xml:space="preserve">(Remainder of LGA). This Plan can be inspected at the Orange Civic Centre, Byng Street, Orange. </w:t>
            </w:r>
          </w:p>
          <w:p w:rsidR="008404B5" w:rsidRPr="008404B5" w:rsidRDefault="008404B5" w:rsidP="003C6965">
            <w:pPr>
              <w:rPr>
                <w:rFonts w:ascii="Arial" w:hAnsi="Arial" w:cs="Arial"/>
                <w:color w:val="000000"/>
                <w:sz w:val="20"/>
              </w:rPr>
            </w:pPr>
            <w:r w:rsidRPr="008404B5">
              <w:rPr>
                <w:rFonts w:ascii="Arial" w:hAnsi="Arial" w:cs="Arial"/>
                <w:color w:val="000000"/>
                <w:sz w:val="20"/>
              </w:rPr>
              <w:t xml:space="preserve">Council Contributions will be adjusted to account for indexation at the time of payment. </w:t>
            </w:r>
          </w:p>
          <w:p w:rsidR="008404B5" w:rsidRPr="008404B5" w:rsidRDefault="008404B5" w:rsidP="003C6965">
            <w:pPr>
              <w:rPr>
                <w:rFonts w:ascii="Arial" w:hAnsi="Arial" w:cs="Arial"/>
                <w:color w:val="000000"/>
                <w:sz w:val="20"/>
              </w:rPr>
            </w:pPr>
            <w:r w:rsidRPr="008404B5">
              <w:rPr>
                <w:rFonts w:ascii="Arial" w:hAnsi="Arial" w:cs="Arial"/>
                <w:b/>
                <w:bCs/>
                <w:color w:val="000000"/>
                <w:sz w:val="20"/>
              </w:rPr>
              <w:t xml:space="preserve">SECTION 64 CONTRIBUTIONS </w:t>
            </w:r>
          </w:p>
          <w:p w:rsidR="008404B5" w:rsidRPr="008404B5" w:rsidRDefault="008404B5" w:rsidP="003C6965">
            <w:pPr>
              <w:rPr>
                <w:rFonts w:ascii="Arial" w:hAnsi="Arial" w:cs="Arial"/>
                <w:color w:val="000000"/>
                <w:sz w:val="20"/>
              </w:rPr>
            </w:pPr>
            <w:r w:rsidRPr="008404B5">
              <w:rPr>
                <w:rFonts w:ascii="Arial" w:hAnsi="Arial" w:cs="Arial"/>
                <w:color w:val="000000"/>
                <w:sz w:val="20"/>
              </w:rPr>
              <w:t xml:space="preserve">Council will require S64 sewer and </w:t>
            </w:r>
            <w:proofErr w:type="spellStart"/>
            <w:r w:rsidRPr="008404B5">
              <w:rPr>
                <w:rFonts w:ascii="Arial" w:hAnsi="Arial" w:cs="Arial"/>
                <w:color w:val="000000"/>
                <w:sz w:val="20"/>
              </w:rPr>
              <w:t>headworks</w:t>
            </w:r>
            <w:proofErr w:type="spellEnd"/>
            <w:r w:rsidRPr="008404B5">
              <w:rPr>
                <w:rFonts w:ascii="Arial" w:hAnsi="Arial" w:cs="Arial"/>
                <w:color w:val="000000"/>
                <w:sz w:val="20"/>
              </w:rPr>
              <w:t xml:space="preserve"> to be paid at the time of construction. Please liaise with Council Technical Services Team regarding these contributions. </w:t>
            </w:r>
          </w:p>
        </w:tc>
        <w:tc>
          <w:tcPr>
            <w:tcW w:w="4678" w:type="dxa"/>
            <w:shd w:val="clear" w:color="auto" w:fill="FFFFFF"/>
          </w:tcPr>
          <w:p w:rsidR="008404B5" w:rsidRPr="008404B5" w:rsidRDefault="008404B5" w:rsidP="008404B5">
            <w:pPr>
              <w:numPr>
                <w:ilvl w:val="0"/>
                <w:numId w:val="27"/>
              </w:numPr>
              <w:ind w:left="434" w:hanging="6"/>
              <w:rPr>
                <w:rFonts w:ascii="Arial" w:eastAsia="Calibri" w:hAnsi="Arial" w:cs="Arial"/>
                <w:sz w:val="20"/>
              </w:rPr>
            </w:pPr>
            <w:r w:rsidRPr="008404B5">
              <w:rPr>
                <w:rFonts w:ascii="Arial" w:eastAsia="Calibri" w:hAnsi="Arial" w:cs="Arial"/>
                <w:sz w:val="20"/>
              </w:rPr>
              <w:lastRenderedPageBreak/>
              <w:t>As per section 7.11 of EPI Act, the contributions are payable to the consent authority when a development consent is sought. However, the proposed development is not subject to Part 4 development consent and it is a Part 5 activity under the EPI act. Hence, the contributions are not payable.</w:t>
            </w:r>
          </w:p>
        </w:tc>
      </w:tr>
      <w:tr w:rsidR="008404B5" w:rsidRPr="008404B5" w:rsidTr="003C6965">
        <w:trPr>
          <w:cantSplit/>
        </w:trPr>
        <w:tc>
          <w:tcPr>
            <w:tcW w:w="4531" w:type="dxa"/>
            <w:shd w:val="clear" w:color="auto" w:fill="FFFFFF"/>
          </w:tcPr>
          <w:p w:rsidR="008404B5" w:rsidRPr="008404B5" w:rsidRDefault="008404B5" w:rsidP="008404B5">
            <w:pPr>
              <w:numPr>
                <w:ilvl w:val="0"/>
                <w:numId w:val="7"/>
              </w:numPr>
              <w:ind w:left="426"/>
              <w:rPr>
                <w:rFonts w:ascii="Arial" w:hAnsi="Arial" w:cs="Arial"/>
                <w:color w:val="000000"/>
                <w:sz w:val="20"/>
                <w:lang w:eastAsia="en-AU"/>
              </w:rPr>
            </w:pPr>
            <w:r w:rsidRPr="008404B5">
              <w:rPr>
                <w:rFonts w:ascii="Arial" w:hAnsi="Arial" w:cs="Arial"/>
                <w:i/>
                <w:iCs/>
                <w:color w:val="000000"/>
                <w:sz w:val="20"/>
              </w:rPr>
              <w:t>Parking garaging and vehicular circulation</w:t>
            </w:r>
            <w:r w:rsidRPr="008404B5">
              <w:rPr>
                <w:rFonts w:ascii="Arial" w:hAnsi="Arial" w:cs="Arial"/>
                <w:color w:val="000000"/>
                <w:sz w:val="20"/>
              </w:rPr>
              <w:t xml:space="preserve"> – consider providing covered parking for residents in line with Council requirements and to improve amenity. </w:t>
            </w:r>
          </w:p>
        </w:tc>
        <w:tc>
          <w:tcPr>
            <w:tcW w:w="4678" w:type="dxa"/>
            <w:shd w:val="clear" w:color="auto" w:fill="FFFFFF"/>
          </w:tcPr>
          <w:p w:rsidR="008404B5" w:rsidRPr="008404B5" w:rsidRDefault="008404B5" w:rsidP="008404B5">
            <w:pPr>
              <w:numPr>
                <w:ilvl w:val="0"/>
                <w:numId w:val="27"/>
              </w:numPr>
              <w:spacing w:after="120"/>
              <w:ind w:left="431" w:hanging="6"/>
              <w:rPr>
                <w:rFonts w:ascii="Arial" w:eastAsia="Calibri" w:hAnsi="Arial" w:cs="Arial"/>
                <w:sz w:val="20"/>
              </w:rPr>
            </w:pPr>
            <w:r w:rsidRPr="008404B5">
              <w:rPr>
                <w:rFonts w:ascii="Arial" w:eastAsia="Calibri" w:hAnsi="Arial" w:cs="Arial"/>
                <w:sz w:val="20"/>
              </w:rPr>
              <w:t xml:space="preserve">The provision of covered parking would result in adverse impacts on the amenity of neighbouring dwellings and would detract from the character of the locality. </w:t>
            </w:r>
          </w:p>
          <w:p w:rsidR="008404B5" w:rsidRPr="008404B5" w:rsidRDefault="008404B5" w:rsidP="008404B5">
            <w:pPr>
              <w:numPr>
                <w:ilvl w:val="0"/>
                <w:numId w:val="27"/>
              </w:numPr>
              <w:spacing w:after="120"/>
              <w:ind w:left="431" w:hanging="6"/>
              <w:rPr>
                <w:rFonts w:ascii="Arial" w:eastAsia="Calibri" w:hAnsi="Arial" w:cs="Arial"/>
                <w:sz w:val="20"/>
              </w:rPr>
            </w:pPr>
            <w:r w:rsidRPr="008404B5">
              <w:rPr>
                <w:rFonts w:ascii="Arial" w:eastAsia="Calibri" w:hAnsi="Arial" w:cs="Arial"/>
                <w:sz w:val="20"/>
              </w:rPr>
              <w:t>The proposed open car park is compliant with the provisions under the ARH SEPP and the LAHC Dwelling requirements 2020.</w:t>
            </w:r>
          </w:p>
        </w:tc>
      </w:tr>
    </w:tbl>
    <w:p w:rsidR="00E94DEC" w:rsidRPr="005F6D25" w:rsidRDefault="00E94DEC" w:rsidP="005F6D25">
      <w:pPr>
        <w:rPr>
          <w:rFonts w:ascii="Arial" w:hAnsi="Arial" w:cs="Arial"/>
          <w:sz w:val="20"/>
        </w:rPr>
      </w:pPr>
    </w:p>
    <w:sectPr w:rsidR="00E94DEC" w:rsidRPr="005F6D25" w:rsidSect="00343851">
      <w:headerReference w:type="default" r:id="rId7"/>
      <w:footerReference w:type="default" r:id="rId8"/>
      <w:pgSz w:w="11906" w:h="16838"/>
      <w:pgMar w:top="1531" w:right="1133"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704" w:rsidRDefault="00B23704" w:rsidP="00372191">
      <w:r>
        <w:separator/>
      </w:r>
    </w:p>
  </w:endnote>
  <w:endnote w:type="continuationSeparator" w:id="0">
    <w:p w:rsidR="00B23704" w:rsidRDefault="00B23704" w:rsidP="0037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851" w:rsidRPr="00816F09" w:rsidRDefault="00343851" w:rsidP="00EA5F37">
    <w:pPr>
      <w:pStyle w:val="Subtitle"/>
      <w:pBdr>
        <w:top w:val="single" w:sz="18" w:space="0" w:color="D7153A"/>
      </w:pBdr>
      <w:spacing w:before="0" w:after="0"/>
      <w:ind w:right="-23"/>
      <w:contextualSpacing/>
    </w:pPr>
    <w:r w:rsidRPr="00816F09">
      <w:t>e.g. Fact sheet</w:t>
    </w:r>
  </w:p>
  <w:p w:rsidR="00343851" w:rsidRPr="00343851" w:rsidRDefault="00343851" w:rsidP="00343851">
    <w:pPr>
      <w:pStyle w:val="Footer"/>
      <w:tabs>
        <w:tab w:val="clear" w:pos="4513"/>
        <w:tab w:val="clear" w:pos="9026"/>
        <w:tab w:val="right" w:pos="4962"/>
      </w:tabs>
      <w:contextualSpacing/>
      <w:jc w:val="center"/>
      <w:rPr>
        <w:rFonts w:ascii="Arial" w:hAnsi="Arial" w:cs="Arial"/>
        <w:color w:val="404040" w:themeColor="text1" w:themeTint="BF"/>
        <w:sz w:val="16"/>
      </w:rPr>
    </w:pPr>
    <w:r w:rsidRPr="00343851">
      <w:rPr>
        <w:rFonts w:ascii="Arial" w:hAnsi="Arial" w:cs="Arial"/>
        <w:color w:val="404040" w:themeColor="text1" w:themeTint="BF"/>
        <w:sz w:val="16"/>
      </w:rPr>
      <w:t xml:space="preserve">NSW Department of Planning and Environment </w:t>
    </w:r>
    <w:r>
      <w:rPr>
        <w:rFonts w:ascii="Arial" w:hAnsi="Arial" w:cs="Arial"/>
        <w:color w:val="404040" w:themeColor="text1" w:themeTint="BF"/>
        <w:sz w:val="16"/>
      </w:rPr>
      <w:tab/>
    </w:r>
    <w:r>
      <w:rPr>
        <w:rFonts w:ascii="Arial" w:hAnsi="Arial" w:cs="Arial"/>
        <w:color w:val="404040" w:themeColor="text1" w:themeTint="BF"/>
        <w:sz w:val="16"/>
      </w:rPr>
      <w:tab/>
    </w:r>
    <w:r w:rsidRPr="00343851">
      <w:rPr>
        <w:rFonts w:ascii="Arial" w:hAnsi="Arial" w:cs="Arial"/>
        <w:color w:val="404040" w:themeColor="text1" w:themeTint="BF"/>
        <w:sz w:val="16"/>
      </w:rPr>
      <w:t xml:space="preserve">|1 Waratah Ave &amp; 50 frost St, Orange </w:t>
    </w:r>
    <w:r>
      <w:rPr>
        <w:rFonts w:ascii="Arial" w:hAnsi="Arial" w:cs="Arial"/>
        <w:color w:val="404040" w:themeColor="text1" w:themeTint="BF"/>
        <w:sz w:val="16"/>
      </w:rPr>
      <w:tab/>
    </w:r>
    <w:r>
      <w:rPr>
        <w:rFonts w:ascii="Arial" w:hAnsi="Arial" w:cs="Arial"/>
        <w:color w:val="404040" w:themeColor="text1" w:themeTint="BF"/>
        <w:sz w:val="16"/>
      </w:rPr>
      <w:tab/>
    </w:r>
    <w:r w:rsidRPr="00343851">
      <w:rPr>
        <w:rFonts w:ascii="Arial" w:hAnsi="Arial" w:cs="Arial"/>
        <w:color w:val="404040" w:themeColor="text1" w:themeTint="BF"/>
        <w:sz w:val="16"/>
      </w:rPr>
      <w:t xml:space="preserve">| </w:t>
    </w:r>
    <w:r w:rsidRPr="00343851">
      <w:rPr>
        <w:rFonts w:ascii="Arial" w:hAnsi="Arial" w:cs="Arial"/>
        <w:color w:val="404040" w:themeColor="text1" w:themeTint="BF"/>
        <w:sz w:val="16"/>
      </w:rPr>
      <w:fldChar w:fldCharType="begin"/>
    </w:r>
    <w:r w:rsidRPr="00343851">
      <w:rPr>
        <w:rFonts w:ascii="Arial" w:hAnsi="Arial" w:cs="Arial"/>
        <w:color w:val="404040" w:themeColor="text1" w:themeTint="BF"/>
        <w:sz w:val="16"/>
      </w:rPr>
      <w:instrText xml:space="preserve"> PAGE   \* MERGEFORMAT </w:instrText>
    </w:r>
    <w:r w:rsidRPr="00343851">
      <w:rPr>
        <w:rFonts w:ascii="Arial" w:hAnsi="Arial" w:cs="Arial"/>
        <w:color w:val="404040" w:themeColor="text1" w:themeTint="BF"/>
        <w:sz w:val="16"/>
      </w:rPr>
      <w:fldChar w:fldCharType="separate"/>
    </w:r>
    <w:r w:rsidR="008404B5">
      <w:rPr>
        <w:rFonts w:ascii="Arial" w:hAnsi="Arial" w:cs="Arial"/>
        <w:noProof/>
        <w:color w:val="404040" w:themeColor="text1" w:themeTint="BF"/>
        <w:sz w:val="16"/>
      </w:rPr>
      <w:t>1</w:t>
    </w:r>
    <w:r w:rsidRPr="00343851">
      <w:rPr>
        <w:rFonts w:ascii="Arial" w:hAnsi="Arial" w:cs="Arial"/>
        <w:color w:val="404040" w:themeColor="text1" w:themeTint="BF"/>
        <w:sz w:val="16"/>
      </w:rPr>
      <w:fldChar w:fldCharType="end"/>
    </w:r>
  </w:p>
  <w:p w:rsidR="00372191" w:rsidRPr="00343851" w:rsidRDefault="00372191" w:rsidP="00343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704" w:rsidRDefault="00B23704" w:rsidP="00372191">
      <w:r>
        <w:separator/>
      </w:r>
    </w:p>
  </w:footnote>
  <w:footnote w:type="continuationSeparator" w:id="0">
    <w:p w:rsidR="00B23704" w:rsidRDefault="00B23704" w:rsidP="00372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9DA" w:rsidRDefault="006D7861" w:rsidP="00F549DA">
    <w:pPr>
      <w:pStyle w:val="Title"/>
      <w:spacing w:before="0" w:after="120"/>
    </w:pPr>
    <w:r w:rsidRPr="00531DE7">
      <w:rPr>
        <w:sz w:val="32"/>
      </w:rPr>
      <w:drawing>
        <wp:anchor distT="0" distB="0" distL="114300" distR="114300" simplePos="0" relativeHeight="251660288" behindDoc="1" locked="0" layoutInCell="1" allowOverlap="1" wp14:anchorId="101160BF" wp14:editId="697B17BC">
          <wp:simplePos x="0" y="0"/>
          <wp:positionH relativeFrom="column">
            <wp:posOffset>5395914</wp:posOffset>
          </wp:positionH>
          <wp:positionV relativeFrom="paragraph">
            <wp:posOffset>-73976</wp:posOffset>
          </wp:positionV>
          <wp:extent cx="595312" cy="638278"/>
          <wp:effectExtent l="0" t="0" r="0" b="0"/>
          <wp:wrapNone/>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SW Government waratah logo"/>
                  <pic:cNvPicPr>
                    <a:picLocks noChangeAspect="1"/>
                  </pic:cNvPicPr>
                </pic:nvPicPr>
                <pic:blipFill>
                  <a:blip r:embed="rId1"/>
                  <a:stretch>
                    <a:fillRect/>
                  </a:stretch>
                </pic:blipFill>
                <pic:spPr>
                  <a:xfrm>
                    <a:off x="0" y="0"/>
                    <a:ext cx="599436" cy="642700"/>
                  </a:xfrm>
                  <a:prstGeom prst="rect">
                    <a:avLst/>
                  </a:prstGeom>
                </pic:spPr>
              </pic:pic>
            </a:graphicData>
          </a:graphic>
          <wp14:sizeRelH relativeFrom="margin">
            <wp14:pctWidth>0</wp14:pctWidth>
          </wp14:sizeRelH>
          <wp14:sizeRelV relativeFrom="margin">
            <wp14:pctHeight>0</wp14:pctHeight>
          </wp14:sizeRelV>
        </wp:anchor>
      </w:drawing>
    </w:r>
    <w:r w:rsidR="00F549DA" w:rsidRPr="00531DE7">
      <w:rPr>
        <w:sz w:val="32"/>
      </w:rPr>
      <mc:AlternateContent>
        <mc:Choice Requires="wps">
          <w:drawing>
            <wp:anchor distT="0" distB="0" distL="114300" distR="114300" simplePos="0" relativeHeight="251659264" behindDoc="1" locked="0" layoutInCell="1" allowOverlap="1" wp14:anchorId="42C78200" wp14:editId="196F6007">
              <wp:simplePos x="0" y="0"/>
              <wp:positionH relativeFrom="column">
                <wp:posOffset>-901065</wp:posOffset>
              </wp:positionH>
              <wp:positionV relativeFrom="paragraph">
                <wp:posOffset>-417195</wp:posOffset>
              </wp:positionV>
              <wp:extent cx="7570470" cy="1349375"/>
              <wp:effectExtent l="0" t="0" r="11430" b="22225"/>
              <wp:wrapNone/>
              <wp:docPr id="1" name="Rectangl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70470" cy="1349375"/>
                      </a:xfrm>
                      <a:prstGeom prst="rect">
                        <a:avLst/>
                      </a:prstGeom>
                      <a:solidFill>
                        <a:srgbClr val="00266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E8507" id="Rectangle 1" o:spid="_x0000_s1026" style="position:absolute;margin-left:-70.95pt;margin-top:-32.85pt;width:596.1pt;height:10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2MxAIAAMMFAAAOAAAAZHJzL2Uyb0RvYy54bWysVN1v2jAQf5+0/8HyO80HgQBqqICOaVLV&#10;Vm2nPhvHIZEc27MNgU3733d2Poq6aQ/TeDB3ubvffd/1zanm6Mi0qaTIcHQVYsQElXkl9hn++rId&#10;zTAyloiccClYhs/M4Jvlxw/XjVqwWJaS50wjABFm0agMl9aqRRAYWrKamCupmABhIXVNLLB6H+Sa&#10;NIBe8yAOw2nQSJ0rLSkzBr7etkK89PhFwah9KArDLOIZhtisf7V/d+4NltdksddElRXtwiD/EEVN&#10;KgFOB6hbYgk66Oo3qLqiWhpZ2Csq60AWRUWZzwGyicJ32TyXRDGfCxTHqKFM5v/B0vvjo0ZVDr3D&#10;SJAaWvQERSNizxmKfErsZO+MdckB1Sb1YxPNxrfpdjpaJ/PZKBmvx6N5MluPojSerSfxajX9lPx0&#10;xQ28lbcPGmUW3p/rjief1aMGJccZIJ2PU6Fr9w+lQSffp/PQJ+efwsd0koZJCu2kIIvGyXycTjpn&#10;vbnSxn5mskaOyLCGnHwy5AixtHH1Ks6bkbzKtxXnntH73YZrdCRuaMJ4Ok069As1n00btA/fnjlz&#10;xlw8sQIKCmHG3qMfZTbgEUqZsG1lTUly1rqZhPDrvbjhdxa+fB7QIRcQ3oDdAfSaLUiP3ebX6TtT&#10;5jdhMA7/FljXtN7Ce5bCDsZ1JaT+EwCHrDrPrT6Ef1EaR+5kfoZx07LdQ6PotoL+3BFjH4mGxYOe&#10;wjGxD/AUXDYZlh2FUSn19z99d/qwDyDFqIFFzrD5diCaYcS/CNiUeZQkbvM9k0zSGBh9KdldSsSh&#10;3khoO2wDROdJp295TxZa1q9wc1bOK4iIoOA7w9TqntnY9sDA1aJstfJqsO2K2DvxrKgDd1V18/dy&#10;eiVadUNqYb7vZb/0ZPFuVltdZynk6mBlUflBfqtrV2+4FH5wuqvmTtEl77Xebu/yFwAAAP//AwBQ&#10;SwMEFAAGAAgAAAAhAILoC0rjAAAADQEAAA8AAABkcnMvZG93bnJldi54bWxMj8tuwjAQRfeV+g/W&#10;VOoO7LQkQBoHoaqPFYtSxNrYJk6J7TR2IM3Xd1i1uzuaoztnitVgG3LWXai945BMGRDtpFe1qzjs&#10;Pl8nCyAhCqdE453m8KMDrMrbm0Lkyl/chz5vY0WwxIVccDAxtjmlQRptRZj6VjvcHX1nRcSxq6jq&#10;xAXLbUMfGMuoFbXDC0a0+tloedr2lsPbaKr+a5R0L0/jevO9fNm/pzvO7++G9ROQqIf4B8NVH9Wh&#10;RKeD750KpOEwSWbJEllMWToHckVYyh6BHDDNsgXQsqD/vyh/AQAA//8DAFBLAQItABQABgAIAAAA&#10;IQC2gziS/gAAAOEBAAATAAAAAAAAAAAAAAAAAAAAAABbQ29udGVudF9UeXBlc10ueG1sUEsBAi0A&#10;FAAGAAgAAAAhADj9If/WAAAAlAEAAAsAAAAAAAAAAAAAAAAALwEAAF9yZWxzLy5yZWxzUEsBAi0A&#10;FAAGAAgAAAAhAG4qnYzEAgAAwwUAAA4AAAAAAAAAAAAAAAAALgIAAGRycy9lMm9Eb2MueG1sUEsB&#10;Ai0AFAAGAAgAAAAhAILoC0rjAAAADQEAAA8AAAAAAAAAAAAAAAAAHgUAAGRycy9kb3ducmV2Lnht&#10;bFBLBQYAAAAABAAEAPMAAAAuBgAAAAA=&#10;" fillcolor="#002664" strokecolor="#243f60 [1604]" strokeweight="2pt"/>
          </w:pict>
        </mc:Fallback>
      </mc:AlternateContent>
    </w:r>
    <w:r w:rsidR="005B1BC2" w:rsidRPr="00531DE7">
      <w:rPr>
        <w:sz w:val="32"/>
      </w:rPr>
      <w:t>Statutory Notification</w:t>
    </w:r>
    <w:r w:rsidR="00F549DA" w:rsidRPr="00531DE7">
      <w:rPr>
        <w:sz w:val="32"/>
      </w:rPr>
      <w:t xml:space="preserve"> </w:t>
    </w:r>
    <w:r w:rsidR="00F549DA" w:rsidRPr="00531DE7">
      <w:rPr>
        <w:sz w:val="28"/>
      </w:rPr>
      <w:t>–</w:t>
    </w:r>
    <w:r w:rsidR="00F549DA">
      <w:t xml:space="preserve"> </w:t>
    </w:r>
  </w:p>
  <w:p w:rsidR="00F549DA" w:rsidRPr="00531DE7" w:rsidRDefault="00F549DA" w:rsidP="00F549DA">
    <w:pPr>
      <w:pStyle w:val="Title"/>
      <w:spacing w:before="0" w:after="120"/>
      <w:rPr>
        <w:sz w:val="32"/>
      </w:rPr>
    </w:pPr>
    <w:r w:rsidRPr="00531DE7">
      <w:rPr>
        <w:sz w:val="24"/>
      </w:rPr>
      <w:t>1 Waratah Ave &amp; 50 Frost St, Orange</w:t>
    </w:r>
  </w:p>
  <w:p w:rsidR="00F549DA" w:rsidRPr="00531DE7" w:rsidRDefault="00F549DA" w:rsidP="00F549DA">
    <w:pPr>
      <w:pStyle w:val="Subtitle"/>
      <w:pBdr>
        <w:top w:val="single" w:sz="18" w:space="4" w:color="D7153A"/>
      </w:pBdr>
      <w:spacing w:before="0"/>
      <w:rPr>
        <w:sz w:val="22"/>
      </w:rPr>
    </w:pPr>
    <w:r w:rsidRPr="00531DE7">
      <w:rPr>
        <w:sz w:val="22"/>
      </w:rPr>
      <w:t>Summary of matters raised</w:t>
    </w:r>
    <w:r w:rsidR="005B1BC2" w:rsidRPr="00531DE7">
      <w:rPr>
        <w:sz w:val="22"/>
      </w:rPr>
      <w:t xml:space="preserve"> by Council</w:t>
    </w:r>
  </w:p>
  <w:p w:rsidR="00F549DA" w:rsidRDefault="00F549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702F"/>
    <w:multiLevelType w:val="hybridMultilevel"/>
    <w:tmpl w:val="6C20844C"/>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A3069"/>
    <w:multiLevelType w:val="multilevel"/>
    <w:tmpl w:val="8B1E8A40"/>
    <w:lvl w:ilvl="0">
      <w:start w:val="1"/>
      <w:numFmt w:val="decimal"/>
      <w:pStyle w:val="Heading1"/>
      <w:lvlText w:val="%1."/>
      <w:lvlJc w:val="left"/>
      <w:pPr>
        <w:tabs>
          <w:tab w:val="num" w:pos="360"/>
        </w:tabs>
        <w:ind w:left="360" w:hanging="360"/>
      </w:pPr>
      <w:rPr>
        <w:rFonts w:hint="default"/>
      </w:rPr>
    </w:lvl>
    <w:lvl w:ilvl="1">
      <w:start w:val="1"/>
      <w:numFmt w:val="decimal"/>
      <w:pStyle w:val="Heading2"/>
      <w:isLgl/>
      <w:lvlText w:val="%1.%2"/>
      <w:lvlJc w:val="left"/>
      <w:pPr>
        <w:tabs>
          <w:tab w:val="num" w:pos="1004"/>
        </w:tabs>
        <w:ind w:left="1004" w:hanging="720"/>
      </w:pPr>
      <w:rPr>
        <w:rFonts w:hint="default"/>
      </w:rPr>
    </w:lvl>
    <w:lvl w:ilvl="2">
      <w:start w:val="1"/>
      <w:numFmt w:val="decimal"/>
      <w:pStyle w:val="Heading3"/>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5C92CD5"/>
    <w:multiLevelType w:val="multilevel"/>
    <w:tmpl w:val="44968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E0915"/>
    <w:multiLevelType w:val="multilevel"/>
    <w:tmpl w:val="18E09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93C66"/>
    <w:multiLevelType w:val="multilevel"/>
    <w:tmpl w:val="4118AE2A"/>
    <w:styleLink w:val="ListParagraph"/>
    <w:lvl w:ilvl="0">
      <w:start w:val="1"/>
      <w:numFmt w:val="none"/>
      <w:pStyle w:val="ListParagraph0"/>
      <w:suff w:val="nothing"/>
      <w:lvlText w:val=""/>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5" w15:restartNumberingAfterBreak="0">
    <w:nsid w:val="11FC242F"/>
    <w:multiLevelType w:val="multilevel"/>
    <w:tmpl w:val="CCE64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310147"/>
    <w:multiLevelType w:val="hybridMultilevel"/>
    <w:tmpl w:val="6D667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6A00F4"/>
    <w:multiLevelType w:val="hybridMultilevel"/>
    <w:tmpl w:val="5BC4E72A"/>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C0E776C"/>
    <w:multiLevelType w:val="hybridMultilevel"/>
    <w:tmpl w:val="5364A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520698"/>
    <w:multiLevelType w:val="multilevel"/>
    <w:tmpl w:val="67D0F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C77649"/>
    <w:multiLevelType w:val="multilevel"/>
    <w:tmpl w:val="4BB00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B560CA"/>
    <w:multiLevelType w:val="hybridMultilevel"/>
    <w:tmpl w:val="D1BCA9D0"/>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FC1F67"/>
    <w:multiLevelType w:val="multilevel"/>
    <w:tmpl w:val="B4DE2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CA43EF"/>
    <w:multiLevelType w:val="multilevel"/>
    <w:tmpl w:val="4118AE2A"/>
    <w:numStyleLink w:val="ListParagraph"/>
  </w:abstractNum>
  <w:abstractNum w:abstractNumId="14" w15:restartNumberingAfterBreak="0">
    <w:nsid w:val="367C7788"/>
    <w:multiLevelType w:val="hybridMultilevel"/>
    <w:tmpl w:val="356E045E"/>
    <w:lvl w:ilvl="0" w:tplc="0C090019">
      <w:start w:val="1"/>
      <w:numFmt w:val="lowerLetter"/>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7E51162"/>
    <w:multiLevelType w:val="hybridMultilevel"/>
    <w:tmpl w:val="1FE62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892E19"/>
    <w:multiLevelType w:val="hybridMultilevel"/>
    <w:tmpl w:val="C60EC516"/>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E5043D"/>
    <w:multiLevelType w:val="multilevel"/>
    <w:tmpl w:val="6F6CE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6838DC"/>
    <w:multiLevelType w:val="hybridMultilevel"/>
    <w:tmpl w:val="38BCF02E"/>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AA43623"/>
    <w:multiLevelType w:val="hybridMultilevel"/>
    <w:tmpl w:val="356E045E"/>
    <w:lvl w:ilvl="0" w:tplc="0C090019">
      <w:start w:val="1"/>
      <w:numFmt w:val="lowerLetter"/>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DA272D0"/>
    <w:multiLevelType w:val="hybridMultilevel"/>
    <w:tmpl w:val="5E7E9A34"/>
    <w:lvl w:ilvl="0" w:tplc="AE6A9CC0">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ED1D52"/>
    <w:multiLevelType w:val="hybridMultilevel"/>
    <w:tmpl w:val="6C20844C"/>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2543FA"/>
    <w:multiLevelType w:val="hybridMultilevel"/>
    <w:tmpl w:val="14741DF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5641DA0"/>
    <w:multiLevelType w:val="multilevel"/>
    <w:tmpl w:val="98BE1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7647DA"/>
    <w:multiLevelType w:val="hybridMultilevel"/>
    <w:tmpl w:val="356E045E"/>
    <w:lvl w:ilvl="0" w:tplc="0C090019">
      <w:start w:val="1"/>
      <w:numFmt w:val="lowerLetter"/>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ED8206A"/>
    <w:multiLevelType w:val="multilevel"/>
    <w:tmpl w:val="7DACC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7E5438"/>
    <w:multiLevelType w:val="multilevel"/>
    <w:tmpl w:val="718EB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3"/>
  </w:num>
  <w:num w:numId="3">
    <w:abstractNumId w:val="14"/>
  </w:num>
  <w:num w:numId="4">
    <w:abstractNumId w:val="1"/>
  </w:num>
  <w:num w:numId="5">
    <w:abstractNumId w:val="21"/>
  </w:num>
  <w:num w:numId="6">
    <w:abstractNumId w:val="18"/>
  </w:num>
  <w:num w:numId="7">
    <w:abstractNumId w:val="22"/>
  </w:num>
  <w:num w:numId="8">
    <w:abstractNumId w:val="26"/>
  </w:num>
  <w:num w:numId="9">
    <w:abstractNumId w:val="5"/>
  </w:num>
  <w:num w:numId="10">
    <w:abstractNumId w:val="17"/>
  </w:num>
  <w:num w:numId="11">
    <w:abstractNumId w:val="11"/>
  </w:num>
  <w:num w:numId="12">
    <w:abstractNumId w:val="16"/>
  </w:num>
  <w:num w:numId="13">
    <w:abstractNumId w:val="19"/>
  </w:num>
  <w:num w:numId="14">
    <w:abstractNumId w:val="24"/>
  </w:num>
  <w:num w:numId="15">
    <w:abstractNumId w:val="13"/>
  </w:num>
  <w:num w:numId="16">
    <w:abstractNumId w:val="13"/>
  </w:num>
  <w:num w:numId="17">
    <w:abstractNumId w:val="7"/>
  </w:num>
  <w:num w:numId="18">
    <w:abstractNumId w:val="13"/>
  </w:num>
  <w:num w:numId="19">
    <w:abstractNumId w:val="0"/>
  </w:num>
  <w:num w:numId="20">
    <w:abstractNumId w:val="15"/>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20"/>
  </w:num>
  <w:num w:numId="28">
    <w:abstractNumId w:val="9"/>
  </w:num>
  <w:num w:numId="29">
    <w:abstractNumId w:val="12"/>
  </w:num>
  <w:num w:numId="30">
    <w:abstractNumId w:val="23"/>
  </w:num>
  <w:num w:numId="31">
    <w:abstractNumId w:val="3"/>
  </w:num>
  <w:num w:numId="32">
    <w:abstractNumId w:val="2"/>
  </w:num>
  <w:num w:numId="33">
    <w:abstractNumId w:val="25"/>
  </w:num>
  <w:num w:numId="34">
    <w:abstractNumId w:val="10"/>
  </w:num>
  <w:num w:numId="35">
    <w:abstractNumId w:val="8"/>
  </w:num>
  <w:num w:numId="36">
    <w:abstractNumId w:val="6"/>
  </w:num>
  <w:num w:numId="37">
    <w:abstractNumId w:val="9"/>
    <w:lvlOverride w:ilvl="0"/>
    <w:lvlOverride w:ilvl="1"/>
    <w:lvlOverride w:ilvl="2"/>
    <w:lvlOverride w:ilvl="3"/>
    <w:lvlOverride w:ilvl="4"/>
    <w:lvlOverride w:ilvl="5"/>
    <w:lvlOverride w:ilvl="6"/>
    <w:lvlOverride w:ilvl="7"/>
    <w:lvlOverride w:ilvl="8"/>
  </w:num>
  <w:num w:numId="38">
    <w:abstractNumId w:val="12"/>
    <w:lvlOverride w:ilvl="0"/>
    <w:lvlOverride w:ilvl="1"/>
    <w:lvlOverride w:ilvl="2"/>
    <w:lvlOverride w:ilvl="3"/>
    <w:lvlOverride w:ilvl="4"/>
    <w:lvlOverride w:ilvl="5"/>
    <w:lvlOverride w:ilvl="6"/>
    <w:lvlOverride w:ilvl="7"/>
    <w:lvlOverride w:ilvl="8"/>
  </w:num>
  <w:num w:numId="39">
    <w:abstractNumId w:val="23"/>
    <w:lvlOverride w:ilvl="0"/>
    <w:lvlOverride w:ilvl="1"/>
    <w:lvlOverride w:ilvl="2"/>
    <w:lvlOverride w:ilvl="3"/>
    <w:lvlOverride w:ilvl="4"/>
    <w:lvlOverride w:ilvl="5"/>
    <w:lvlOverride w:ilvl="6"/>
    <w:lvlOverride w:ilvl="7"/>
    <w:lvlOverride w:ilvl="8"/>
  </w:num>
  <w:num w:numId="40">
    <w:abstractNumId w:val="3"/>
    <w:lvlOverride w:ilvl="0"/>
    <w:lvlOverride w:ilvl="1"/>
    <w:lvlOverride w:ilvl="2"/>
    <w:lvlOverride w:ilvl="3"/>
    <w:lvlOverride w:ilvl="4"/>
    <w:lvlOverride w:ilvl="5"/>
    <w:lvlOverride w:ilvl="6"/>
    <w:lvlOverride w:ilvl="7"/>
    <w:lvlOverride w:ilvl="8"/>
  </w:num>
  <w:num w:numId="41">
    <w:abstractNumId w:val="2"/>
    <w:lvlOverride w:ilvl="0"/>
    <w:lvlOverride w:ilvl="1"/>
    <w:lvlOverride w:ilvl="2"/>
    <w:lvlOverride w:ilvl="3"/>
    <w:lvlOverride w:ilvl="4"/>
    <w:lvlOverride w:ilvl="5"/>
    <w:lvlOverride w:ilvl="6"/>
    <w:lvlOverride w:ilvl="7"/>
    <w:lvlOverride w:ilvl="8"/>
  </w:num>
  <w:num w:numId="42">
    <w:abstractNumId w:val="25"/>
    <w:lvlOverride w:ilvl="0"/>
    <w:lvlOverride w:ilvl="1"/>
    <w:lvlOverride w:ilvl="2"/>
    <w:lvlOverride w:ilvl="3"/>
    <w:lvlOverride w:ilvl="4"/>
    <w:lvlOverride w:ilvl="5"/>
    <w:lvlOverride w:ilvl="6"/>
    <w:lvlOverride w:ilvl="7"/>
    <w:lvlOverride w:ilvl="8"/>
  </w:num>
  <w:num w:numId="43">
    <w:abstractNumId w:val="10"/>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098"/>
    <w:rsid w:val="00000FFD"/>
    <w:rsid w:val="000113CD"/>
    <w:rsid w:val="00011DE2"/>
    <w:rsid w:val="000151A0"/>
    <w:rsid w:val="000151A6"/>
    <w:rsid w:val="00024825"/>
    <w:rsid w:val="00040C65"/>
    <w:rsid w:val="00045E9D"/>
    <w:rsid w:val="00061BF9"/>
    <w:rsid w:val="00075015"/>
    <w:rsid w:val="000835F6"/>
    <w:rsid w:val="000860F8"/>
    <w:rsid w:val="00096CB0"/>
    <w:rsid w:val="000B6A56"/>
    <w:rsid w:val="000B6EEF"/>
    <w:rsid w:val="000B6FB3"/>
    <w:rsid w:val="000C3D9D"/>
    <w:rsid w:val="000C4401"/>
    <w:rsid w:val="000E248A"/>
    <w:rsid w:val="000E62C5"/>
    <w:rsid w:val="000F612B"/>
    <w:rsid w:val="00102471"/>
    <w:rsid w:val="00105592"/>
    <w:rsid w:val="001128BF"/>
    <w:rsid w:val="001213B0"/>
    <w:rsid w:val="00126F24"/>
    <w:rsid w:val="00127A5E"/>
    <w:rsid w:val="00141E8E"/>
    <w:rsid w:val="001432AA"/>
    <w:rsid w:val="00155DB7"/>
    <w:rsid w:val="00162D26"/>
    <w:rsid w:val="0016463E"/>
    <w:rsid w:val="001678FD"/>
    <w:rsid w:val="001710AB"/>
    <w:rsid w:val="00172108"/>
    <w:rsid w:val="001751A2"/>
    <w:rsid w:val="001817B7"/>
    <w:rsid w:val="00182581"/>
    <w:rsid w:val="00182881"/>
    <w:rsid w:val="0019177D"/>
    <w:rsid w:val="001B533A"/>
    <w:rsid w:val="001B677F"/>
    <w:rsid w:val="001C42CD"/>
    <w:rsid w:val="001E207D"/>
    <w:rsid w:val="001E2A72"/>
    <w:rsid w:val="001F1C10"/>
    <w:rsid w:val="002229D7"/>
    <w:rsid w:val="00222B53"/>
    <w:rsid w:val="00222CC5"/>
    <w:rsid w:val="0023237B"/>
    <w:rsid w:val="00236AF9"/>
    <w:rsid w:val="00244616"/>
    <w:rsid w:val="002500EB"/>
    <w:rsid w:val="00254815"/>
    <w:rsid w:val="00255D67"/>
    <w:rsid w:val="00275830"/>
    <w:rsid w:val="002A09DB"/>
    <w:rsid w:val="002A15DD"/>
    <w:rsid w:val="002B04D4"/>
    <w:rsid w:val="002B09AA"/>
    <w:rsid w:val="002B4475"/>
    <w:rsid w:val="002B54DF"/>
    <w:rsid w:val="002C1241"/>
    <w:rsid w:val="002C547F"/>
    <w:rsid w:val="002D5ACA"/>
    <w:rsid w:val="002D659C"/>
    <w:rsid w:val="002E6DDB"/>
    <w:rsid w:val="002F3435"/>
    <w:rsid w:val="002F372F"/>
    <w:rsid w:val="003009E1"/>
    <w:rsid w:val="00315C0E"/>
    <w:rsid w:val="00315D4A"/>
    <w:rsid w:val="00320AEF"/>
    <w:rsid w:val="00330944"/>
    <w:rsid w:val="00331B0C"/>
    <w:rsid w:val="00335894"/>
    <w:rsid w:val="00335C0F"/>
    <w:rsid w:val="00343851"/>
    <w:rsid w:val="003519BF"/>
    <w:rsid w:val="003524AB"/>
    <w:rsid w:val="00354936"/>
    <w:rsid w:val="0035750D"/>
    <w:rsid w:val="00363E75"/>
    <w:rsid w:val="00372191"/>
    <w:rsid w:val="00380FC7"/>
    <w:rsid w:val="003A543A"/>
    <w:rsid w:val="003B4D58"/>
    <w:rsid w:val="003C208F"/>
    <w:rsid w:val="003C34D2"/>
    <w:rsid w:val="003C3A7A"/>
    <w:rsid w:val="003D16A7"/>
    <w:rsid w:val="003D4D05"/>
    <w:rsid w:val="003E3766"/>
    <w:rsid w:val="004008ED"/>
    <w:rsid w:val="00424098"/>
    <w:rsid w:val="004248E7"/>
    <w:rsid w:val="004268D1"/>
    <w:rsid w:val="00437B4C"/>
    <w:rsid w:val="00441C23"/>
    <w:rsid w:val="0045114A"/>
    <w:rsid w:val="00455093"/>
    <w:rsid w:val="0045547B"/>
    <w:rsid w:val="004713B0"/>
    <w:rsid w:val="00494AE0"/>
    <w:rsid w:val="004A09A0"/>
    <w:rsid w:val="004A69DE"/>
    <w:rsid w:val="004A7635"/>
    <w:rsid w:val="004B16A1"/>
    <w:rsid w:val="004D328A"/>
    <w:rsid w:val="004D78C3"/>
    <w:rsid w:val="004E37BC"/>
    <w:rsid w:val="004E6288"/>
    <w:rsid w:val="005126AC"/>
    <w:rsid w:val="00526CC8"/>
    <w:rsid w:val="005317A1"/>
    <w:rsid w:val="00531DE7"/>
    <w:rsid w:val="005522C5"/>
    <w:rsid w:val="005528A3"/>
    <w:rsid w:val="005605BF"/>
    <w:rsid w:val="00564C94"/>
    <w:rsid w:val="00572E59"/>
    <w:rsid w:val="00582CDC"/>
    <w:rsid w:val="005B1BC2"/>
    <w:rsid w:val="005C6F67"/>
    <w:rsid w:val="005D2904"/>
    <w:rsid w:val="005D2BC9"/>
    <w:rsid w:val="005E1D37"/>
    <w:rsid w:val="005F002B"/>
    <w:rsid w:val="005F6D25"/>
    <w:rsid w:val="00601FE7"/>
    <w:rsid w:val="00613438"/>
    <w:rsid w:val="00616738"/>
    <w:rsid w:val="006167C1"/>
    <w:rsid w:val="00633367"/>
    <w:rsid w:val="00635DC3"/>
    <w:rsid w:val="0064768A"/>
    <w:rsid w:val="0066508F"/>
    <w:rsid w:val="006708FD"/>
    <w:rsid w:val="00675E5A"/>
    <w:rsid w:val="00683B0F"/>
    <w:rsid w:val="00685641"/>
    <w:rsid w:val="00686951"/>
    <w:rsid w:val="006946C2"/>
    <w:rsid w:val="006C5F19"/>
    <w:rsid w:val="006D679A"/>
    <w:rsid w:val="006D7861"/>
    <w:rsid w:val="006E1750"/>
    <w:rsid w:val="006E280E"/>
    <w:rsid w:val="006E43C3"/>
    <w:rsid w:val="006E4A25"/>
    <w:rsid w:val="006E6378"/>
    <w:rsid w:val="006F5E5B"/>
    <w:rsid w:val="006F6768"/>
    <w:rsid w:val="006F6867"/>
    <w:rsid w:val="00701C53"/>
    <w:rsid w:val="007206E9"/>
    <w:rsid w:val="007532F1"/>
    <w:rsid w:val="0075732D"/>
    <w:rsid w:val="00762AEE"/>
    <w:rsid w:val="00771138"/>
    <w:rsid w:val="0078138C"/>
    <w:rsid w:val="007825DE"/>
    <w:rsid w:val="007861D0"/>
    <w:rsid w:val="007978C1"/>
    <w:rsid w:val="007C4D69"/>
    <w:rsid w:val="007C66B0"/>
    <w:rsid w:val="007D5156"/>
    <w:rsid w:val="007E7D51"/>
    <w:rsid w:val="00807BAC"/>
    <w:rsid w:val="0082514D"/>
    <w:rsid w:val="008404B5"/>
    <w:rsid w:val="008500CF"/>
    <w:rsid w:val="00854483"/>
    <w:rsid w:val="0086553F"/>
    <w:rsid w:val="00881257"/>
    <w:rsid w:val="00881766"/>
    <w:rsid w:val="00884E10"/>
    <w:rsid w:val="008A142D"/>
    <w:rsid w:val="008A7BB7"/>
    <w:rsid w:val="008B21A4"/>
    <w:rsid w:val="008B51A9"/>
    <w:rsid w:val="008D413F"/>
    <w:rsid w:val="008D7B8E"/>
    <w:rsid w:val="008E6C45"/>
    <w:rsid w:val="00927AC0"/>
    <w:rsid w:val="00946D91"/>
    <w:rsid w:val="00952CC4"/>
    <w:rsid w:val="00972848"/>
    <w:rsid w:val="0097620E"/>
    <w:rsid w:val="00977A76"/>
    <w:rsid w:val="009849D7"/>
    <w:rsid w:val="009A0791"/>
    <w:rsid w:val="009A3E79"/>
    <w:rsid w:val="009D0F49"/>
    <w:rsid w:val="009E00BC"/>
    <w:rsid w:val="00A00941"/>
    <w:rsid w:val="00A02FD0"/>
    <w:rsid w:val="00A03886"/>
    <w:rsid w:val="00A201F2"/>
    <w:rsid w:val="00A24502"/>
    <w:rsid w:val="00A25396"/>
    <w:rsid w:val="00A253E4"/>
    <w:rsid w:val="00A317E9"/>
    <w:rsid w:val="00A331EB"/>
    <w:rsid w:val="00A37F86"/>
    <w:rsid w:val="00A502EC"/>
    <w:rsid w:val="00A754D1"/>
    <w:rsid w:val="00A765FE"/>
    <w:rsid w:val="00A804EF"/>
    <w:rsid w:val="00A808A3"/>
    <w:rsid w:val="00A901D7"/>
    <w:rsid w:val="00A914AE"/>
    <w:rsid w:val="00AA244B"/>
    <w:rsid w:val="00AC10F3"/>
    <w:rsid w:val="00AC55DE"/>
    <w:rsid w:val="00AC6EAC"/>
    <w:rsid w:val="00AD407C"/>
    <w:rsid w:val="00AD77EB"/>
    <w:rsid w:val="00AE0B78"/>
    <w:rsid w:val="00AE67E3"/>
    <w:rsid w:val="00AF4C7F"/>
    <w:rsid w:val="00AF5DD5"/>
    <w:rsid w:val="00B06620"/>
    <w:rsid w:val="00B066E6"/>
    <w:rsid w:val="00B23704"/>
    <w:rsid w:val="00B25EE9"/>
    <w:rsid w:val="00B357E9"/>
    <w:rsid w:val="00B46533"/>
    <w:rsid w:val="00B4690C"/>
    <w:rsid w:val="00B472F5"/>
    <w:rsid w:val="00B60C2E"/>
    <w:rsid w:val="00B71610"/>
    <w:rsid w:val="00B81DD1"/>
    <w:rsid w:val="00BA0957"/>
    <w:rsid w:val="00BB4647"/>
    <w:rsid w:val="00BF14CE"/>
    <w:rsid w:val="00BF5A02"/>
    <w:rsid w:val="00C00570"/>
    <w:rsid w:val="00C33F43"/>
    <w:rsid w:val="00C36C26"/>
    <w:rsid w:val="00C37321"/>
    <w:rsid w:val="00C50577"/>
    <w:rsid w:val="00C50B56"/>
    <w:rsid w:val="00C54D90"/>
    <w:rsid w:val="00C55204"/>
    <w:rsid w:val="00C672A6"/>
    <w:rsid w:val="00C74CC6"/>
    <w:rsid w:val="00C82165"/>
    <w:rsid w:val="00C85264"/>
    <w:rsid w:val="00C93257"/>
    <w:rsid w:val="00C94C79"/>
    <w:rsid w:val="00CA0103"/>
    <w:rsid w:val="00CA1B45"/>
    <w:rsid w:val="00CA7968"/>
    <w:rsid w:val="00CB3EE7"/>
    <w:rsid w:val="00CC1BE2"/>
    <w:rsid w:val="00CD22E4"/>
    <w:rsid w:val="00CE2A6A"/>
    <w:rsid w:val="00CE40DC"/>
    <w:rsid w:val="00CF4906"/>
    <w:rsid w:val="00CF50D2"/>
    <w:rsid w:val="00D10F76"/>
    <w:rsid w:val="00D114FB"/>
    <w:rsid w:val="00D131BB"/>
    <w:rsid w:val="00D20790"/>
    <w:rsid w:val="00D219B5"/>
    <w:rsid w:val="00D3069D"/>
    <w:rsid w:val="00D3583E"/>
    <w:rsid w:val="00D36B61"/>
    <w:rsid w:val="00D42E4C"/>
    <w:rsid w:val="00D63D75"/>
    <w:rsid w:val="00D87954"/>
    <w:rsid w:val="00D9150A"/>
    <w:rsid w:val="00D94761"/>
    <w:rsid w:val="00D94F3B"/>
    <w:rsid w:val="00DA462F"/>
    <w:rsid w:val="00DB0A04"/>
    <w:rsid w:val="00DB5DFB"/>
    <w:rsid w:val="00DC1BFC"/>
    <w:rsid w:val="00DC315E"/>
    <w:rsid w:val="00DC49FB"/>
    <w:rsid w:val="00DD0B5A"/>
    <w:rsid w:val="00DD3D05"/>
    <w:rsid w:val="00DD4241"/>
    <w:rsid w:val="00DD5736"/>
    <w:rsid w:val="00DE3E87"/>
    <w:rsid w:val="00DF2EE0"/>
    <w:rsid w:val="00DF3ED1"/>
    <w:rsid w:val="00DF6640"/>
    <w:rsid w:val="00E05E3B"/>
    <w:rsid w:val="00E11234"/>
    <w:rsid w:val="00E24DF2"/>
    <w:rsid w:val="00E56033"/>
    <w:rsid w:val="00E57273"/>
    <w:rsid w:val="00E60D00"/>
    <w:rsid w:val="00E64593"/>
    <w:rsid w:val="00E65060"/>
    <w:rsid w:val="00E657D8"/>
    <w:rsid w:val="00E71A91"/>
    <w:rsid w:val="00E81E83"/>
    <w:rsid w:val="00E82039"/>
    <w:rsid w:val="00E94B26"/>
    <w:rsid w:val="00E94DEC"/>
    <w:rsid w:val="00EA5F37"/>
    <w:rsid w:val="00EB4088"/>
    <w:rsid w:val="00ED0338"/>
    <w:rsid w:val="00EE111D"/>
    <w:rsid w:val="00F12792"/>
    <w:rsid w:val="00F23BEA"/>
    <w:rsid w:val="00F44A5A"/>
    <w:rsid w:val="00F45588"/>
    <w:rsid w:val="00F50F87"/>
    <w:rsid w:val="00F534BA"/>
    <w:rsid w:val="00F53B66"/>
    <w:rsid w:val="00F549DA"/>
    <w:rsid w:val="00F9682C"/>
    <w:rsid w:val="00FA1F9F"/>
    <w:rsid w:val="00FA2225"/>
    <w:rsid w:val="00FB4921"/>
    <w:rsid w:val="00FC1BD6"/>
    <w:rsid w:val="00FC2C4A"/>
    <w:rsid w:val="00FD6403"/>
    <w:rsid w:val="00FD72A8"/>
    <w:rsid w:val="00FE528A"/>
    <w:rsid w:val="00FF37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CD671A"/>
  <w15:docId w15:val="{E52B1D67-0DA3-492E-89A9-38311100F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09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D131BB"/>
    <w:pPr>
      <w:keepNext/>
      <w:numPr>
        <w:numId w:val="4"/>
      </w:numPr>
      <w:tabs>
        <w:tab w:val="clear" w:pos="360"/>
        <w:tab w:val="num" w:pos="709"/>
      </w:tabs>
      <w:spacing w:before="240" w:after="60"/>
      <w:ind w:left="709" w:hanging="709"/>
      <w:jc w:val="both"/>
      <w:outlineLvl w:val="0"/>
    </w:pPr>
    <w:rPr>
      <w:rFonts w:ascii="Arial" w:hAnsi="Arial" w:cs="Arial"/>
      <w:b/>
      <w:bCs/>
      <w:kern w:val="32"/>
      <w:sz w:val="28"/>
      <w:szCs w:val="32"/>
    </w:rPr>
  </w:style>
  <w:style w:type="paragraph" w:styleId="Heading2">
    <w:name w:val="heading 2"/>
    <w:basedOn w:val="Normal"/>
    <w:next w:val="Normal"/>
    <w:link w:val="Heading2Char"/>
    <w:qFormat/>
    <w:rsid w:val="004A69DE"/>
    <w:pPr>
      <w:keepNext/>
      <w:numPr>
        <w:ilvl w:val="1"/>
        <w:numId w:val="4"/>
      </w:numPr>
      <w:tabs>
        <w:tab w:val="clear" w:pos="1004"/>
        <w:tab w:val="num" w:pos="709"/>
      </w:tabs>
      <w:spacing w:before="240" w:after="60"/>
      <w:ind w:hanging="1004"/>
      <w:jc w:val="both"/>
      <w:outlineLvl w:val="1"/>
    </w:pPr>
    <w:rPr>
      <w:rFonts w:ascii="Arial" w:hAnsi="Arial" w:cs="Arial"/>
      <w:b/>
      <w:bCs/>
      <w:iCs/>
      <w:sz w:val="28"/>
      <w:szCs w:val="28"/>
    </w:rPr>
  </w:style>
  <w:style w:type="paragraph" w:styleId="Heading3">
    <w:name w:val="heading 3"/>
    <w:basedOn w:val="Normal"/>
    <w:next w:val="Normal"/>
    <w:link w:val="Heading3Char"/>
    <w:qFormat/>
    <w:rsid w:val="004A69DE"/>
    <w:pPr>
      <w:keepNext/>
      <w:numPr>
        <w:ilvl w:val="2"/>
        <w:numId w:val="4"/>
      </w:numPr>
      <w:tabs>
        <w:tab w:val="clear" w:pos="1080"/>
        <w:tab w:val="num" w:pos="709"/>
      </w:tabs>
      <w:spacing w:before="240" w:after="60"/>
      <w:ind w:left="709" w:hanging="709"/>
      <w:jc w:val="both"/>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basedOn w:val="Normal"/>
    <w:uiPriority w:val="34"/>
    <w:qFormat/>
    <w:rsid w:val="00424098"/>
    <w:pPr>
      <w:numPr>
        <w:numId w:val="2"/>
      </w:numPr>
      <w:spacing w:after="120"/>
    </w:pPr>
    <w:rPr>
      <w:rFonts w:ascii="Tahoma" w:eastAsia="Tahoma" w:hAnsi="Tahoma"/>
      <w:sz w:val="20"/>
      <w:szCs w:val="22"/>
    </w:rPr>
  </w:style>
  <w:style w:type="numbering" w:customStyle="1" w:styleId="ListParagraph">
    <w:name w:val="ListParagraph"/>
    <w:uiPriority w:val="99"/>
    <w:rsid w:val="00424098"/>
    <w:pPr>
      <w:numPr>
        <w:numId w:val="1"/>
      </w:numPr>
    </w:pPr>
  </w:style>
  <w:style w:type="table" w:styleId="TableGrid">
    <w:name w:val="Table Grid"/>
    <w:basedOn w:val="TableNormal"/>
    <w:uiPriority w:val="39"/>
    <w:rsid w:val="008E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semiHidden/>
    <w:rsid w:val="008E6C45"/>
    <w:rPr>
      <w:rFonts w:ascii="Arial" w:hAnsi="Arial" w:cs="Arial"/>
      <w:sz w:val="22"/>
      <w:szCs w:val="22"/>
    </w:rPr>
  </w:style>
  <w:style w:type="character" w:styleId="CommentReference">
    <w:name w:val="annotation reference"/>
    <w:basedOn w:val="DefaultParagraphFont"/>
    <w:uiPriority w:val="99"/>
    <w:semiHidden/>
    <w:unhideWhenUsed/>
    <w:rsid w:val="00B60C2E"/>
    <w:rPr>
      <w:sz w:val="16"/>
      <w:szCs w:val="16"/>
    </w:rPr>
  </w:style>
  <w:style w:type="paragraph" w:styleId="CommentText">
    <w:name w:val="annotation text"/>
    <w:basedOn w:val="Normal"/>
    <w:link w:val="CommentTextChar"/>
    <w:uiPriority w:val="99"/>
    <w:semiHidden/>
    <w:unhideWhenUsed/>
    <w:rsid w:val="00B60C2E"/>
    <w:rPr>
      <w:sz w:val="20"/>
    </w:rPr>
  </w:style>
  <w:style w:type="character" w:customStyle="1" w:styleId="CommentTextChar">
    <w:name w:val="Comment Text Char"/>
    <w:basedOn w:val="DefaultParagraphFont"/>
    <w:link w:val="CommentText"/>
    <w:uiPriority w:val="99"/>
    <w:semiHidden/>
    <w:rsid w:val="00B60C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0C2E"/>
    <w:rPr>
      <w:b/>
      <w:bCs/>
    </w:rPr>
  </w:style>
  <w:style w:type="character" w:customStyle="1" w:styleId="CommentSubjectChar">
    <w:name w:val="Comment Subject Char"/>
    <w:basedOn w:val="CommentTextChar"/>
    <w:link w:val="CommentSubject"/>
    <w:uiPriority w:val="99"/>
    <w:semiHidden/>
    <w:rsid w:val="00B60C2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60C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C2E"/>
    <w:rPr>
      <w:rFonts w:ascii="Segoe UI" w:eastAsia="Times New Roman" w:hAnsi="Segoe UI" w:cs="Segoe UI"/>
      <w:sz w:val="18"/>
      <w:szCs w:val="18"/>
    </w:rPr>
  </w:style>
  <w:style w:type="character" w:styleId="Hyperlink">
    <w:name w:val="Hyperlink"/>
    <w:rsid w:val="0064768A"/>
    <w:rPr>
      <w:color w:val="0000FF"/>
      <w:u w:val="single"/>
    </w:rPr>
  </w:style>
  <w:style w:type="paragraph" w:styleId="Header">
    <w:name w:val="header"/>
    <w:basedOn w:val="Normal"/>
    <w:link w:val="HeaderChar"/>
    <w:uiPriority w:val="99"/>
    <w:unhideWhenUsed/>
    <w:rsid w:val="00372191"/>
    <w:pPr>
      <w:tabs>
        <w:tab w:val="center" w:pos="4513"/>
        <w:tab w:val="right" w:pos="9026"/>
      </w:tabs>
    </w:pPr>
  </w:style>
  <w:style w:type="character" w:customStyle="1" w:styleId="HeaderChar">
    <w:name w:val="Header Char"/>
    <w:basedOn w:val="DefaultParagraphFont"/>
    <w:link w:val="Header"/>
    <w:uiPriority w:val="99"/>
    <w:rsid w:val="0037219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72191"/>
    <w:pPr>
      <w:tabs>
        <w:tab w:val="center" w:pos="4513"/>
        <w:tab w:val="right" w:pos="9026"/>
      </w:tabs>
    </w:pPr>
  </w:style>
  <w:style w:type="character" w:customStyle="1" w:styleId="FooterChar">
    <w:name w:val="Footer Char"/>
    <w:basedOn w:val="DefaultParagraphFont"/>
    <w:link w:val="Footer"/>
    <w:uiPriority w:val="99"/>
    <w:rsid w:val="00372191"/>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131BB"/>
    <w:rPr>
      <w:rFonts w:ascii="Arial" w:eastAsia="Times New Roman" w:hAnsi="Arial" w:cs="Arial"/>
      <w:b/>
      <w:bCs/>
      <w:kern w:val="32"/>
      <w:sz w:val="28"/>
      <w:szCs w:val="32"/>
    </w:rPr>
  </w:style>
  <w:style w:type="character" w:customStyle="1" w:styleId="Heading2Char">
    <w:name w:val="Heading 2 Char"/>
    <w:basedOn w:val="DefaultParagraphFont"/>
    <w:link w:val="Heading2"/>
    <w:rsid w:val="004A69DE"/>
    <w:rPr>
      <w:rFonts w:ascii="Arial" w:eastAsia="Times New Roman" w:hAnsi="Arial" w:cs="Arial"/>
      <w:b/>
      <w:bCs/>
      <w:iCs/>
      <w:sz w:val="28"/>
      <w:szCs w:val="28"/>
    </w:rPr>
  </w:style>
  <w:style w:type="character" w:customStyle="1" w:styleId="Heading3Char">
    <w:name w:val="Heading 3 Char"/>
    <w:basedOn w:val="DefaultParagraphFont"/>
    <w:link w:val="Heading3"/>
    <w:rsid w:val="004A69DE"/>
    <w:rPr>
      <w:rFonts w:ascii="Arial" w:eastAsia="Times New Roman" w:hAnsi="Arial" w:cs="Arial"/>
      <w:b/>
      <w:bCs/>
      <w:sz w:val="24"/>
      <w:szCs w:val="24"/>
    </w:rPr>
  </w:style>
  <w:style w:type="paragraph" w:styleId="Revision">
    <w:name w:val="Revision"/>
    <w:hidden/>
    <w:uiPriority w:val="99"/>
    <w:semiHidden/>
    <w:rsid w:val="003B4D58"/>
    <w:pPr>
      <w:spacing w:after="0" w:line="240" w:lineRule="auto"/>
    </w:pPr>
    <w:rPr>
      <w:rFonts w:ascii="Times New Roman" w:eastAsia="Times New Roman" w:hAnsi="Times New Roman" w:cs="Times New Roman"/>
      <w:sz w:val="24"/>
      <w:szCs w:val="20"/>
    </w:rPr>
  </w:style>
  <w:style w:type="paragraph" w:styleId="Subtitle">
    <w:name w:val="Subtitle"/>
    <w:basedOn w:val="Normal"/>
    <w:next w:val="Normal"/>
    <w:link w:val="SubtitleChar"/>
    <w:uiPriority w:val="11"/>
    <w:rsid w:val="00F549DA"/>
    <w:pPr>
      <w:pBdr>
        <w:top w:val="single" w:sz="18" w:space="4" w:color="8064A2" w:themeColor="accent4"/>
      </w:pBdr>
      <w:spacing w:before="120" w:after="120" w:line="260" w:lineRule="atLeast"/>
      <w:ind w:right="3826"/>
    </w:pPr>
    <w:rPr>
      <w:rFonts w:ascii="Arial" w:eastAsiaTheme="minorHAnsi" w:hAnsi="Arial" w:cstheme="minorBidi"/>
      <w:color w:val="FFFFFF" w:themeColor="background1"/>
      <w:szCs w:val="22"/>
    </w:rPr>
  </w:style>
  <w:style w:type="character" w:customStyle="1" w:styleId="SubtitleChar">
    <w:name w:val="Subtitle Char"/>
    <w:basedOn w:val="DefaultParagraphFont"/>
    <w:link w:val="Subtitle"/>
    <w:uiPriority w:val="11"/>
    <w:rsid w:val="00F549DA"/>
    <w:rPr>
      <w:rFonts w:ascii="Arial" w:hAnsi="Arial"/>
      <w:color w:val="FFFFFF" w:themeColor="background1"/>
      <w:sz w:val="24"/>
    </w:rPr>
  </w:style>
  <w:style w:type="paragraph" w:styleId="Title">
    <w:name w:val="Title"/>
    <w:basedOn w:val="Normal"/>
    <w:next w:val="Normal"/>
    <w:link w:val="TitleChar"/>
    <w:uiPriority w:val="10"/>
    <w:rsid w:val="00F549DA"/>
    <w:pPr>
      <w:autoSpaceDE w:val="0"/>
      <w:autoSpaceDN w:val="0"/>
      <w:adjustRightInd w:val="0"/>
      <w:spacing w:before="120"/>
      <w:ind w:right="2267"/>
    </w:pPr>
    <w:rPr>
      <w:rFonts w:ascii="Arial" w:eastAsiaTheme="minorHAnsi" w:hAnsi="Arial" w:cstheme="minorBidi"/>
      <w:b/>
      <w:noProof/>
      <w:color w:val="FFFFFF" w:themeColor="background1"/>
      <w:sz w:val="36"/>
      <w:szCs w:val="60"/>
      <w:lang w:eastAsia="en-AU"/>
    </w:rPr>
  </w:style>
  <w:style w:type="character" w:customStyle="1" w:styleId="TitleChar">
    <w:name w:val="Title Char"/>
    <w:basedOn w:val="DefaultParagraphFont"/>
    <w:link w:val="Title"/>
    <w:uiPriority w:val="10"/>
    <w:rsid w:val="00F549DA"/>
    <w:rPr>
      <w:rFonts w:ascii="Arial" w:hAnsi="Arial"/>
      <w:b/>
      <w:noProof/>
      <w:color w:val="FFFFFF" w:themeColor="background1"/>
      <w:sz w:val="36"/>
      <w:szCs w:val="6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1213">
      <w:bodyDiv w:val="1"/>
      <w:marLeft w:val="0"/>
      <w:marRight w:val="0"/>
      <w:marTop w:val="0"/>
      <w:marBottom w:val="0"/>
      <w:divBdr>
        <w:top w:val="none" w:sz="0" w:space="0" w:color="auto"/>
        <w:left w:val="none" w:sz="0" w:space="0" w:color="auto"/>
        <w:bottom w:val="none" w:sz="0" w:space="0" w:color="auto"/>
        <w:right w:val="none" w:sz="0" w:space="0" w:color="auto"/>
      </w:divBdr>
    </w:div>
    <w:div w:id="44724640">
      <w:bodyDiv w:val="1"/>
      <w:marLeft w:val="0"/>
      <w:marRight w:val="0"/>
      <w:marTop w:val="0"/>
      <w:marBottom w:val="0"/>
      <w:divBdr>
        <w:top w:val="none" w:sz="0" w:space="0" w:color="auto"/>
        <w:left w:val="none" w:sz="0" w:space="0" w:color="auto"/>
        <w:bottom w:val="none" w:sz="0" w:space="0" w:color="auto"/>
        <w:right w:val="none" w:sz="0" w:space="0" w:color="auto"/>
      </w:divBdr>
    </w:div>
    <w:div w:id="82772050">
      <w:bodyDiv w:val="1"/>
      <w:marLeft w:val="0"/>
      <w:marRight w:val="0"/>
      <w:marTop w:val="0"/>
      <w:marBottom w:val="0"/>
      <w:divBdr>
        <w:top w:val="none" w:sz="0" w:space="0" w:color="auto"/>
        <w:left w:val="none" w:sz="0" w:space="0" w:color="auto"/>
        <w:bottom w:val="none" w:sz="0" w:space="0" w:color="auto"/>
        <w:right w:val="none" w:sz="0" w:space="0" w:color="auto"/>
      </w:divBdr>
    </w:div>
    <w:div w:id="177160157">
      <w:bodyDiv w:val="1"/>
      <w:marLeft w:val="0"/>
      <w:marRight w:val="0"/>
      <w:marTop w:val="0"/>
      <w:marBottom w:val="0"/>
      <w:divBdr>
        <w:top w:val="none" w:sz="0" w:space="0" w:color="auto"/>
        <w:left w:val="none" w:sz="0" w:space="0" w:color="auto"/>
        <w:bottom w:val="none" w:sz="0" w:space="0" w:color="auto"/>
        <w:right w:val="none" w:sz="0" w:space="0" w:color="auto"/>
      </w:divBdr>
    </w:div>
    <w:div w:id="231544604">
      <w:bodyDiv w:val="1"/>
      <w:marLeft w:val="0"/>
      <w:marRight w:val="0"/>
      <w:marTop w:val="0"/>
      <w:marBottom w:val="0"/>
      <w:divBdr>
        <w:top w:val="none" w:sz="0" w:space="0" w:color="auto"/>
        <w:left w:val="none" w:sz="0" w:space="0" w:color="auto"/>
        <w:bottom w:val="none" w:sz="0" w:space="0" w:color="auto"/>
        <w:right w:val="none" w:sz="0" w:space="0" w:color="auto"/>
      </w:divBdr>
    </w:div>
    <w:div w:id="316344102">
      <w:bodyDiv w:val="1"/>
      <w:marLeft w:val="0"/>
      <w:marRight w:val="0"/>
      <w:marTop w:val="0"/>
      <w:marBottom w:val="0"/>
      <w:divBdr>
        <w:top w:val="none" w:sz="0" w:space="0" w:color="auto"/>
        <w:left w:val="none" w:sz="0" w:space="0" w:color="auto"/>
        <w:bottom w:val="none" w:sz="0" w:space="0" w:color="auto"/>
        <w:right w:val="none" w:sz="0" w:space="0" w:color="auto"/>
      </w:divBdr>
    </w:div>
    <w:div w:id="676080148">
      <w:bodyDiv w:val="1"/>
      <w:marLeft w:val="0"/>
      <w:marRight w:val="0"/>
      <w:marTop w:val="0"/>
      <w:marBottom w:val="0"/>
      <w:divBdr>
        <w:top w:val="none" w:sz="0" w:space="0" w:color="auto"/>
        <w:left w:val="none" w:sz="0" w:space="0" w:color="auto"/>
        <w:bottom w:val="none" w:sz="0" w:space="0" w:color="auto"/>
        <w:right w:val="none" w:sz="0" w:space="0" w:color="auto"/>
      </w:divBdr>
    </w:div>
    <w:div w:id="833640493">
      <w:bodyDiv w:val="1"/>
      <w:marLeft w:val="0"/>
      <w:marRight w:val="0"/>
      <w:marTop w:val="0"/>
      <w:marBottom w:val="0"/>
      <w:divBdr>
        <w:top w:val="none" w:sz="0" w:space="0" w:color="auto"/>
        <w:left w:val="none" w:sz="0" w:space="0" w:color="auto"/>
        <w:bottom w:val="none" w:sz="0" w:space="0" w:color="auto"/>
        <w:right w:val="none" w:sz="0" w:space="0" w:color="auto"/>
      </w:divBdr>
    </w:div>
    <w:div w:id="1005977765">
      <w:bodyDiv w:val="1"/>
      <w:marLeft w:val="0"/>
      <w:marRight w:val="0"/>
      <w:marTop w:val="0"/>
      <w:marBottom w:val="0"/>
      <w:divBdr>
        <w:top w:val="none" w:sz="0" w:space="0" w:color="auto"/>
        <w:left w:val="none" w:sz="0" w:space="0" w:color="auto"/>
        <w:bottom w:val="none" w:sz="0" w:space="0" w:color="auto"/>
        <w:right w:val="none" w:sz="0" w:space="0" w:color="auto"/>
      </w:divBdr>
    </w:div>
    <w:div w:id="1030913992">
      <w:bodyDiv w:val="1"/>
      <w:marLeft w:val="0"/>
      <w:marRight w:val="0"/>
      <w:marTop w:val="0"/>
      <w:marBottom w:val="0"/>
      <w:divBdr>
        <w:top w:val="none" w:sz="0" w:space="0" w:color="auto"/>
        <w:left w:val="none" w:sz="0" w:space="0" w:color="auto"/>
        <w:bottom w:val="none" w:sz="0" w:space="0" w:color="auto"/>
        <w:right w:val="none" w:sz="0" w:space="0" w:color="auto"/>
      </w:divBdr>
    </w:div>
    <w:div w:id="1314213335">
      <w:bodyDiv w:val="1"/>
      <w:marLeft w:val="0"/>
      <w:marRight w:val="0"/>
      <w:marTop w:val="0"/>
      <w:marBottom w:val="0"/>
      <w:divBdr>
        <w:top w:val="none" w:sz="0" w:space="0" w:color="auto"/>
        <w:left w:val="none" w:sz="0" w:space="0" w:color="auto"/>
        <w:bottom w:val="none" w:sz="0" w:space="0" w:color="auto"/>
        <w:right w:val="none" w:sz="0" w:space="0" w:color="auto"/>
      </w:divBdr>
    </w:div>
    <w:div w:id="1488328766">
      <w:bodyDiv w:val="1"/>
      <w:marLeft w:val="0"/>
      <w:marRight w:val="0"/>
      <w:marTop w:val="0"/>
      <w:marBottom w:val="0"/>
      <w:divBdr>
        <w:top w:val="none" w:sz="0" w:space="0" w:color="auto"/>
        <w:left w:val="none" w:sz="0" w:space="0" w:color="auto"/>
        <w:bottom w:val="none" w:sz="0" w:space="0" w:color="auto"/>
        <w:right w:val="none" w:sz="0" w:space="0" w:color="auto"/>
      </w:divBdr>
    </w:div>
    <w:div w:id="1576207987">
      <w:bodyDiv w:val="1"/>
      <w:marLeft w:val="0"/>
      <w:marRight w:val="0"/>
      <w:marTop w:val="0"/>
      <w:marBottom w:val="0"/>
      <w:divBdr>
        <w:top w:val="none" w:sz="0" w:space="0" w:color="auto"/>
        <w:left w:val="none" w:sz="0" w:space="0" w:color="auto"/>
        <w:bottom w:val="none" w:sz="0" w:space="0" w:color="auto"/>
        <w:right w:val="none" w:sz="0" w:space="0" w:color="auto"/>
      </w:divBdr>
    </w:div>
    <w:div w:id="1866283022">
      <w:bodyDiv w:val="1"/>
      <w:marLeft w:val="0"/>
      <w:marRight w:val="0"/>
      <w:marTop w:val="0"/>
      <w:marBottom w:val="0"/>
      <w:divBdr>
        <w:top w:val="none" w:sz="0" w:space="0" w:color="auto"/>
        <w:left w:val="none" w:sz="0" w:space="0" w:color="auto"/>
        <w:bottom w:val="none" w:sz="0" w:space="0" w:color="auto"/>
        <w:right w:val="none" w:sz="0" w:space="0" w:color="auto"/>
      </w:divBdr>
    </w:div>
    <w:div w:id="1876844092">
      <w:bodyDiv w:val="1"/>
      <w:marLeft w:val="0"/>
      <w:marRight w:val="0"/>
      <w:marTop w:val="0"/>
      <w:marBottom w:val="0"/>
      <w:divBdr>
        <w:top w:val="none" w:sz="0" w:space="0" w:color="auto"/>
        <w:left w:val="none" w:sz="0" w:space="0" w:color="auto"/>
        <w:bottom w:val="none" w:sz="0" w:space="0" w:color="auto"/>
        <w:right w:val="none" w:sz="0" w:space="0" w:color="auto"/>
      </w:divBdr>
    </w:div>
    <w:div w:id="2018266837">
      <w:bodyDiv w:val="1"/>
      <w:marLeft w:val="0"/>
      <w:marRight w:val="0"/>
      <w:marTop w:val="0"/>
      <w:marBottom w:val="0"/>
      <w:divBdr>
        <w:top w:val="none" w:sz="0" w:space="0" w:color="auto"/>
        <w:left w:val="none" w:sz="0" w:space="0" w:color="auto"/>
        <w:bottom w:val="none" w:sz="0" w:space="0" w:color="auto"/>
        <w:right w:val="none" w:sz="0" w:space="0" w:color="auto"/>
      </w:divBdr>
    </w:div>
    <w:div w:id="2118940376">
      <w:bodyDiv w:val="1"/>
      <w:marLeft w:val="0"/>
      <w:marRight w:val="0"/>
      <w:marTop w:val="0"/>
      <w:marBottom w:val="0"/>
      <w:divBdr>
        <w:top w:val="none" w:sz="0" w:space="0" w:color="auto"/>
        <w:left w:val="none" w:sz="0" w:space="0" w:color="auto"/>
        <w:bottom w:val="none" w:sz="0" w:space="0" w:color="auto"/>
        <w:right w:val="none" w:sz="0" w:space="0" w:color="auto"/>
      </w:divBdr>
    </w:div>
    <w:div w:id="212626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1496</Words>
  <Characters>8529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Loizou</dc:creator>
  <cp:lastModifiedBy>Rajlaxmi Kshirsagar</cp:lastModifiedBy>
  <cp:revision>102</cp:revision>
  <cp:lastPrinted>2019-08-05T02:52:00Z</cp:lastPrinted>
  <dcterms:created xsi:type="dcterms:W3CDTF">2022-03-08T21:58:00Z</dcterms:created>
  <dcterms:modified xsi:type="dcterms:W3CDTF">2022-05-18T23:52:00Z</dcterms:modified>
</cp:coreProperties>
</file>